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目录</w:t>
      </w:r>
    </w:p>
    <w:p>
      <w:pPr>
        <w:numPr>
          <w:ilvl w:val="0"/>
          <w:numId w:val="1"/>
        </w:numPr>
        <w:ind w:left="0" w:leftChars="0" w:firstLine="420" w:firstLineChars="0"/>
        <w:jc w:val="lef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w:t>
      </w:r>
      <w:r>
        <w:rPr>
          <w:rFonts w:hint="eastAsia" w:ascii="宋体" w:hAnsi="宋体" w:cs="宋体"/>
          <w:b w:val="0"/>
          <w:bCs w:val="0"/>
          <w:sz w:val="32"/>
          <w:szCs w:val="32"/>
          <w:lang w:val="en-US" w:eastAsia="zh-CN"/>
        </w:rPr>
        <w:t>20</w:t>
      </w:r>
      <w:r>
        <w:rPr>
          <w:rFonts w:hint="eastAsia" w:ascii="宋体" w:hAnsi="宋体" w:eastAsia="宋体" w:cs="宋体"/>
          <w:b w:val="0"/>
          <w:bCs w:val="0"/>
          <w:sz w:val="32"/>
          <w:szCs w:val="32"/>
          <w:lang w:eastAsia="zh-CN"/>
        </w:rPr>
        <w:t>年部门决算批复</w:t>
      </w:r>
    </w:p>
    <w:p>
      <w:pPr>
        <w:numPr>
          <w:ilvl w:val="0"/>
          <w:numId w:val="1"/>
        </w:numPr>
        <w:ind w:left="0" w:leftChars="0" w:firstLine="420" w:firstLine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本级决算和所属单位决算汇总决算</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部门收支总体情况表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部门收入总体情况表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部门支出总体情况表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财政拨款收支总体情况表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一般公共预算基本支出情况表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一般公共预算三公经费支出情况表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cs="宋体"/>
          <w:b w:val="0"/>
          <w:bCs w:val="0"/>
          <w:sz w:val="32"/>
          <w:szCs w:val="32"/>
          <w:lang w:eastAsia="zh-CN"/>
        </w:rPr>
        <w:t>政府性基金预算财政拨款收入支出决算表</w:t>
      </w:r>
    </w:p>
    <w:p>
      <w:pPr>
        <w:numPr>
          <w:ilvl w:val="0"/>
          <w:numId w:val="2"/>
        </w:numPr>
        <w:ind w:left="420"/>
        <w:rPr>
          <w:rFonts w:hint="eastAsia" w:ascii="宋体" w:hAnsi="宋体" w:cs="宋体"/>
          <w:sz w:val="32"/>
          <w:szCs w:val="32"/>
        </w:rPr>
      </w:pPr>
      <w:r>
        <w:rPr>
          <w:rFonts w:hint="eastAsia" w:ascii="宋体" w:hAnsi="宋体" w:cs="宋体"/>
          <w:sz w:val="32"/>
          <w:szCs w:val="32"/>
        </w:rPr>
        <w:t>政府性基金预算支出情况表</w:t>
      </w:r>
    </w:p>
    <w:p>
      <w:pPr>
        <w:numPr>
          <w:ilvl w:val="0"/>
          <w:numId w:val="2"/>
        </w:numPr>
        <w:ind w:left="420"/>
        <w:rPr>
          <w:rFonts w:hint="eastAsia" w:ascii="宋体" w:hAnsi="宋体" w:eastAsia="宋体" w:cs="宋体"/>
          <w:b w:val="0"/>
          <w:bCs w:val="0"/>
          <w:sz w:val="32"/>
          <w:szCs w:val="32"/>
          <w:lang w:eastAsia="zh-CN"/>
        </w:rPr>
      </w:pPr>
      <w:r>
        <w:rPr>
          <w:rFonts w:hint="eastAsia" w:ascii="宋体" w:hAnsi="宋体" w:cs="宋体"/>
          <w:sz w:val="32"/>
          <w:szCs w:val="32"/>
        </w:rPr>
        <w:t>国有资本经营预算拨款收支情况表</w:t>
      </w:r>
    </w:p>
    <w:p>
      <w:pPr>
        <w:numPr>
          <w:ilvl w:val="0"/>
          <w:numId w:val="3"/>
        </w:numPr>
        <w:ind w:left="0" w:leftChars="0" w:firstLine="217" w:firstLineChars="68"/>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部门决算文字说明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单位职责</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机构设置</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人员构成</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部门决算收支</w:t>
      </w:r>
      <w:r>
        <w:rPr>
          <w:rFonts w:hint="eastAsia" w:ascii="宋体" w:hAnsi="宋体" w:eastAsia="宋体" w:cs="宋体"/>
          <w:b w:val="0"/>
          <w:bCs w:val="0"/>
          <w:sz w:val="32"/>
          <w:szCs w:val="32"/>
          <w:lang w:eastAsia="zh-CN"/>
        </w:rPr>
        <w:t>增减变化</w:t>
      </w:r>
      <w:r>
        <w:rPr>
          <w:rFonts w:hint="eastAsia" w:ascii="宋体" w:hAnsi="宋体" w:eastAsia="宋体" w:cs="宋体"/>
          <w:b w:val="0"/>
          <w:bCs w:val="0"/>
          <w:sz w:val="32"/>
          <w:szCs w:val="32"/>
        </w:rPr>
        <w:t>情况说明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机关</w:t>
      </w:r>
      <w:r>
        <w:rPr>
          <w:rFonts w:hint="eastAsia" w:ascii="宋体" w:hAnsi="宋体" w:eastAsia="宋体" w:cs="宋体"/>
          <w:b w:val="0"/>
          <w:bCs w:val="0"/>
          <w:sz w:val="32"/>
          <w:szCs w:val="32"/>
        </w:rPr>
        <w:t>运行经费</w:t>
      </w:r>
      <w:r>
        <w:rPr>
          <w:rFonts w:hint="eastAsia" w:ascii="宋体" w:hAnsi="宋体" w:eastAsia="宋体" w:cs="宋体"/>
          <w:b w:val="0"/>
          <w:bCs w:val="0"/>
          <w:sz w:val="32"/>
          <w:szCs w:val="32"/>
          <w:lang w:eastAsia="zh-CN"/>
        </w:rPr>
        <w:t>执行</w:t>
      </w:r>
      <w:r>
        <w:rPr>
          <w:rFonts w:hint="eastAsia" w:ascii="宋体" w:hAnsi="宋体" w:eastAsia="宋体" w:cs="宋体"/>
          <w:b w:val="0"/>
          <w:bCs w:val="0"/>
          <w:sz w:val="32"/>
          <w:szCs w:val="32"/>
        </w:rPr>
        <w:t>情况</w:t>
      </w:r>
      <w:r>
        <w:rPr>
          <w:rFonts w:hint="eastAsia" w:ascii="宋体" w:hAnsi="宋体" w:eastAsia="宋体" w:cs="宋体"/>
          <w:b w:val="0"/>
          <w:bCs w:val="0"/>
          <w:sz w:val="32"/>
          <w:szCs w:val="32"/>
          <w:lang w:eastAsia="zh-CN"/>
        </w:rPr>
        <w:t>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政府采购</w:t>
      </w:r>
      <w:r>
        <w:rPr>
          <w:rFonts w:hint="eastAsia" w:ascii="宋体" w:hAnsi="宋体" w:eastAsia="宋体" w:cs="宋体"/>
          <w:b w:val="0"/>
          <w:bCs w:val="0"/>
          <w:sz w:val="32"/>
          <w:szCs w:val="32"/>
          <w:lang w:eastAsia="zh-CN"/>
        </w:rPr>
        <w:t>执行</w:t>
      </w:r>
      <w:r>
        <w:rPr>
          <w:rFonts w:hint="eastAsia" w:ascii="宋体" w:hAnsi="宋体" w:eastAsia="宋体" w:cs="宋体"/>
          <w:b w:val="0"/>
          <w:bCs w:val="0"/>
          <w:sz w:val="32"/>
          <w:szCs w:val="32"/>
        </w:rPr>
        <w:t>情况</w:t>
      </w:r>
      <w:r>
        <w:rPr>
          <w:rFonts w:hint="eastAsia" w:ascii="宋体" w:hAnsi="宋体" w:eastAsia="宋体" w:cs="宋体"/>
          <w:b w:val="0"/>
          <w:bCs w:val="0"/>
          <w:sz w:val="32"/>
          <w:szCs w:val="32"/>
          <w:lang w:eastAsia="zh-CN"/>
        </w:rPr>
        <w:t>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国有资产占有使用情况</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重点</w:t>
      </w:r>
      <w:r>
        <w:rPr>
          <w:rFonts w:hint="eastAsia" w:ascii="宋体" w:hAnsi="宋体" w:eastAsia="宋体" w:cs="宋体"/>
          <w:b w:val="0"/>
          <w:bCs w:val="0"/>
          <w:sz w:val="32"/>
          <w:szCs w:val="32"/>
          <w:lang w:eastAsia="zh-CN"/>
        </w:rPr>
        <w:t>绩效评价结果等预算绩效情况说明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“三公”经费情况</w:t>
      </w:r>
      <w:r>
        <w:rPr>
          <w:rFonts w:hint="eastAsia" w:ascii="宋体" w:hAnsi="宋体" w:eastAsia="宋体" w:cs="宋体"/>
          <w:b w:val="0"/>
          <w:bCs w:val="0"/>
          <w:sz w:val="32"/>
          <w:szCs w:val="32"/>
          <w:lang w:eastAsia="zh-CN"/>
        </w:rPr>
        <w:t>及增减变化原因</w:t>
      </w:r>
      <w:r>
        <w:rPr>
          <w:rFonts w:hint="eastAsia" w:ascii="宋体" w:hAnsi="宋体" w:eastAsia="宋体" w:cs="宋体"/>
          <w:b w:val="0"/>
          <w:bCs w:val="0"/>
          <w:sz w:val="32"/>
          <w:szCs w:val="32"/>
        </w:rPr>
        <w:t>说明</w:t>
      </w:r>
    </w:p>
    <w:p>
      <w:pPr>
        <w:numPr>
          <w:ilvl w:val="0"/>
          <w:numId w:val="4"/>
        </w:numPr>
        <w:ind w:left="0" w:leftChars="0" w:firstLine="420" w:firstLine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名词解释</w:t>
      </w:r>
    </w:p>
    <w:p>
      <w:pPr>
        <w:numPr>
          <w:ilvl w:val="0"/>
          <w:numId w:val="3"/>
        </w:numPr>
        <w:ind w:left="0" w:leftChars="0" w:firstLine="217" w:firstLineChars="68"/>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国有资本经营</w:t>
      </w:r>
      <w:r>
        <w:rPr>
          <w:rFonts w:hint="eastAsia" w:ascii="宋体" w:hAnsi="宋体" w:cs="宋体"/>
          <w:b w:val="0"/>
          <w:bCs w:val="0"/>
          <w:sz w:val="32"/>
          <w:szCs w:val="32"/>
          <w:lang w:eastAsia="zh-CN"/>
        </w:rPr>
        <w:t>预算拨款收支情况</w:t>
      </w:r>
      <w:r>
        <w:rPr>
          <w:rFonts w:hint="eastAsia" w:ascii="宋体" w:hAnsi="宋体" w:eastAsia="宋体" w:cs="宋体"/>
          <w:b w:val="0"/>
          <w:bCs w:val="0"/>
          <w:sz w:val="32"/>
          <w:szCs w:val="32"/>
          <w:lang w:eastAsia="zh-CN"/>
        </w:rPr>
        <w:t>无数据说明</w:t>
      </w: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ind w:left="420" w:leftChars="0"/>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ind w:firstLine="640" w:firstLineChars="200"/>
        <w:jc w:val="center"/>
        <w:rPr>
          <w:rFonts w:hint="eastAsia" w:ascii="仿宋_GB2312" w:eastAsia="仿宋_GB2312"/>
          <w:sz w:val="32"/>
          <w:szCs w:val="32"/>
          <w:lang w:eastAsia="zh-CN"/>
        </w:rPr>
      </w:pPr>
      <w:r>
        <w:rPr>
          <w:rFonts w:hint="eastAsia" w:ascii="仿宋_GB2312" w:eastAsia="仿宋_GB2312"/>
          <w:sz w:val="32"/>
          <w:szCs w:val="32"/>
          <w:lang w:eastAsia="zh-CN"/>
        </w:rPr>
        <w:t>说明</w:t>
      </w:r>
    </w:p>
    <w:p>
      <w:pPr>
        <w:ind w:firstLine="640" w:firstLineChars="200"/>
        <w:rPr>
          <w:sz w:val="32"/>
          <w:szCs w:val="32"/>
        </w:rPr>
      </w:pPr>
      <w:r>
        <w:rPr>
          <w:rFonts w:hint="eastAsia" w:ascii="仿宋_GB2312" w:eastAsia="仿宋_GB2312"/>
          <w:sz w:val="32"/>
          <w:szCs w:val="32"/>
        </w:rPr>
        <w:t>截</w:t>
      </w:r>
      <w:r>
        <w:rPr>
          <w:rFonts w:hint="eastAsia" w:ascii="仿宋_GB2312" w:eastAsia="仿宋_GB2312"/>
          <w:sz w:val="32"/>
          <w:szCs w:val="32"/>
          <w:lang w:val="en-US" w:eastAsia="zh-CN"/>
        </w:rPr>
        <w:t>至</w:t>
      </w:r>
      <w:bookmarkStart w:id="0" w:name="_GoBack"/>
      <w:bookmarkEnd w:id="0"/>
      <w:r>
        <w:rPr>
          <w:rFonts w:hint="eastAsia" w:ascii="仿宋_GB2312" w:eastAsia="仿宋_GB2312"/>
          <w:sz w:val="32"/>
          <w:szCs w:val="32"/>
        </w:rPr>
        <w:t>目前，我</w:t>
      </w:r>
      <w:r>
        <w:rPr>
          <w:rFonts w:hint="eastAsia" w:ascii="仿宋_GB2312" w:eastAsia="仿宋_GB2312"/>
          <w:sz w:val="32"/>
          <w:szCs w:val="32"/>
          <w:lang w:eastAsia="zh-CN"/>
        </w:rPr>
        <w:t>单位</w:t>
      </w:r>
      <w:r>
        <w:rPr>
          <w:rFonts w:hint="eastAsia" w:ascii="仿宋_GB2312" w:eastAsia="仿宋_GB2312"/>
          <w:sz w:val="32"/>
          <w:szCs w:val="32"/>
        </w:rPr>
        <w:t>无</w:t>
      </w:r>
      <w:r>
        <w:rPr>
          <w:rFonts w:hint="eastAsia" w:ascii="仿宋_GB2312" w:eastAsia="仿宋_GB2312"/>
          <w:sz w:val="32"/>
          <w:szCs w:val="32"/>
          <w:lang w:eastAsia="zh-CN"/>
        </w:rPr>
        <w:t>国有资本经营决算，因此国有资本经营转移性收支决算录入表、国有资本经营预算拨款收支情况表无数据。</w:t>
      </w: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numPr>
          <w:ilvl w:val="0"/>
          <w:numId w:val="0"/>
        </w:numPr>
        <w:rPr>
          <w:rFonts w:hint="eastAsia" w:ascii="宋体" w:hAnsi="宋体" w:eastAsia="宋体" w:cs="宋体"/>
          <w:b w:val="0"/>
          <w:bCs w:val="0"/>
          <w:sz w:val="32"/>
          <w:szCs w:val="32"/>
          <w:lang w:eastAsia="zh-CN"/>
        </w:rPr>
      </w:pPr>
    </w:p>
    <w:p>
      <w:pPr>
        <w:spacing w:line="240" w:lineRule="auto"/>
        <w:jc w:val="center"/>
        <w:rPr>
          <w:rFonts w:hint="eastAsia" w:ascii="仿宋" w:hAnsi="仿宋" w:eastAsia="仿宋" w:cs="仿宋"/>
          <w:b w:val="0"/>
          <w:bCs/>
          <w:sz w:val="44"/>
          <w:szCs w:val="44"/>
        </w:rPr>
      </w:pPr>
      <w:r>
        <w:rPr>
          <w:rFonts w:hint="eastAsia" w:ascii="仿宋" w:hAnsi="仿宋" w:eastAsia="仿宋" w:cs="仿宋"/>
          <w:b w:val="0"/>
          <w:bCs/>
          <w:sz w:val="44"/>
          <w:szCs w:val="44"/>
          <w:lang w:eastAsia="zh-CN"/>
        </w:rPr>
        <w:t>鹤岗市</w:t>
      </w:r>
      <w:r>
        <w:rPr>
          <w:rFonts w:hint="eastAsia" w:ascii="仿宋" w:hAnsi="仿宋" w:eastAsia="仿宋" w:cs="仿宋"/>
          <w:b w:val="0"/>
          <w:bCs/>
          <w:sz w:val="44"/>
          <w:szCs w:val="44"/>
        </w:rPr>
        <w:t>兴安区</w:t>
      </w:r>
      <w:r>
        <w:rPr>
          <w:rFonts w:hint="eastAsia" w:ascii="仿宋" w:hAnsi="仿宋" w:eastAsia="仿宋" w:cs="仿宋"/>
          <w:b w:val="0"/>
          <w:bCs/>
          <w:sz w:val="44"/>
          <w:szCs w:val="44"/>
          <w:lang w:val="en-US" w:eastAsia="zh-CN"/>
        </w:rPr>
        <w:t>卫生监督和健康服务中心2020年</w:t>
      </w:r>
      <w:r>
        <w:rPr>
          <w:rFonts w:hint="eastAsia" w:ascii="仿宋" w:hAnsi="仿宋" w:eastAsia="仿宋" w:cs="仿宋"/>
          <w:b w:val="0"/>
          <w:bCs/>
          <w:sz w:val="44"/>
          <w:szCs w:val="44"/>
        </w:rPr>
        <w:t>部门决算文字说明</w:t>
      </w:r>
    </w:p>
    <w:p>
      <w:pPr>
        <w:spacing w:line="600" w:lineRule="exact"/>
        <w:jc w:val="center"/>
        <w:rPr>
          <w:rFonts w:hint="eastAsia" w:ascii="仿宋_GB2312" w:eastAsia="仿宋_GB2312"/>
          <w:b/>
          <w:sz w:val="36"/>
          <w:szCs w:val="36"/>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单位职责</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本单位的宗旨是社会公益，</w:t>
      </w:r>
      <w:r>
        <w:rPr>
          <w:rFonts w:hint="eastAsia" w:ascii="仿宋_GB2312" w:eastAsia="仿宋_GB2312"/>
          <w:sz w:val="32"/>
          <w:szCs w:val="32"/>
        </w:rPr>
        <w:t>对传染病、地方病、</w:t>
      </w:r>
      <w:r>
        <w:rPr>
          <w:rFonts w:hint="eastAsia" w:ascii="仿宋_GB2312" w:eastAsia="仿宋_GB2312"/>
          <w:sz w:val="32"/>
          <w:szCs w:val="32"/>
          <w:lang w:eastAsia="zh-CN"/>
        </w:rPr>
        <w:t>职业病、</w:t>
      </w:r>
      <w:r>
        <w:rPr>
          <w:rFonts w:hint="eastAsia" w:ascii="仿宋_GB2312" w:eastAsia="仿宋_GB2312"/>
          <w:sz w:val="32"/>
          <w:szCs w:val="32"/>
        </w:rPr>
        <w:t>寄生虫病、慢性非传染性疾病、公害病、学生常见病、孕产妇和儿童疾病及意外伤害、中毒等发生、分布和发展的规律进行流行病学监测，并制定预防控制对策。向社会提供相关的预防保健信息、健康咨询等专业技术服务。</w:t>
      </w:r>
    </w:p>
    <w:p>
      <w:pPr>
        <w:rPr>
          <w:rFonts w:hint="eastAsia" w:ascii="仿宋_GB2312" w:hAnsi="仿宋_GB2312" w:eastAsia="仿宋_GB2312" w:cs="仿宋_GB2312"/>
          <w:b/>
          <w:color w:val="FF0000"/>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兴安区卫生监督和健康服务中心（区疾病预防控制中心）</w:t>
      </w:r>
      <w:r>
        <w:rPr>
          <w:rFonts w:hint="eastAsia" w:ascii="仿宋_GB2312" w:hAnsi="仿宋_GB2312" w:eastAsia="仿宋_GB2312" w:cs="仿宋_GB2312"/>
          <w:sz w:val="32"/>
          <w:szCs w:val="32"/>
        </w:rPr>
        <w:t xml:space="preserve">共计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个部门。</w:t>
      </w: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b/>
          <w:color w:val="FF0000"/>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rPr>
          <w:rFonts w:hint="eastAsia" w:ascii="仿宋" w:hAnsi="仿宋" w:eastAsia="仿宋"/>
          <w:sz w:val="32"/>
          <w:szCs w:val="32"/>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人员构成</w:t>
      </w:r>
    </w:p>
    <w:p>
      <w:pPr>
        <w:spacing w:line="360" w:lineRule="auto"/>
        <w:ind w:firstLine="640" w:firstLineChars="200"/>
        <w:rPr>
          <w:rFonts w:hint="eastAsia" w:ascii="仿宋" w:hAnsi="仿宋" w:eastAsia="仿宋_GB2312"/>
          <w:sz w:val="32"/>
          <w:szCs w:val="32"/>
          <w:lang w:eastAsia="zh-CN"/>
        </w:rPr>
      </w:pPr>
      <w:r>
        <w:rPr>
          <w:rFonts w:hint="eastAsia" w:ascii="仿宋_GB2312" w:hAnsi="仿宋_GB2312" w:eastAsia="仿宋_GB2312" w:cs="仿宋_GB2312"/>
          <w:sz w:val="32"/>
          <w:szCs w:val="32"/>
        </w:rPr>
        <w:t>单位年末</w:t>
      </w:r>
      <w:r>
        <w:rPr>
          <w:rFonts w:hint="eastAsia" w:ascii="仿宋_GB2312" w:hAnsi="仿宋_GB2312" w:eastAsia="仿宋_GB2312" w:cs="仿宋_GB2312"/>
          <w:color w:val="000000"/>
          <w:sz w:val="32"/>
          <w:szCs w:val="32"/>
        </w:rPr>
        <w:t xml:space="preserve">编制数 </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sz w:val="32"/>
          <w:szCs w:val="32"/>
        </w:rPr>
        <w:t xml:space="preserve">个，其中行政编0个，事业编 </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个。实有人员 </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人，其中在职人员</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 人，退休人员</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部门决算收支增减变化情况说明</w:t>
      </w:r>
    </w:p>
    <w:tbl>
      <w:tblPr>
        <w:tblStyle w:val="2"/>
        <w:tblpPr w:leftFromText="180" w:rightFromText="180" w:vertAnchor="text" w:horzAnchor="page" w:tblpX="555" w:tblpY="1133"/>
        <w:tblOverlap w:val="never"/>
        <w:tblW w:w="0" w:type="auto"/>
        <w:tblInd w:w="0" w:type="dxa"/>
        <w:tblLayout w:type="fixed"/>
        <w:tblCellMar>
          <w:top w:w="15" w:type="dxa"/>
          <w:left w:w="15" w:type="dxa"/>
          <w:bottom w:w="15" w:type="dxa"/>
          <w:right w:w="15" w:type="dxa"/>
        </w:tblCellMar>
      </w:tblPr>
      <w:tblGrid>
        <w:gridCol w:w="3091"/>
        <w:gridCol w:w="870"/>
        <w:gridCol w:w="1623"/>
        <w:gridCol w:w="1776"/>
        <w:gridCol w:w="1394"/>
        <w:gridCol w:w="626"/>
        <w:gridCol w:w="1753"/>
      </w:tblGrid>
      <w:tr>
        <w:tblPrEx>
          <w:tblCellMar>
            <w:top w:w="15" w:type="dxa"/>
            <w:left w:w="15" w:type="dxa"/>
            <w:bottom w:w="15" w:type="dxa"/>
            <w:right w:w="15" w:type="dxa"/>
          </w:tblCellMar>
        </w:tblPrEx>
        <w:trPr>
          <w:trHeight w:val="540" w:hRule="atLeast"/>
        </w:trPr>
        <w:tc>
          <w:tcPr>
            <w:tcW w:w="309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left"/>
              <w:textAlignment w:val="bottom"/>
              <w:rPr>
                <w:rFonts w:ascii="Arial" w:hAnsi="Arial" w:cs="Arial"/>
                <w:color w:val="000000"/>
                <w:sz w:val="20"/>
                <w:szCs w:val="20"/>
              </w:rPr>
            </w:pPr>
          </w:p>
        </w:tc>
        <w:tc>
          <w:tcPr>
            <w:tcW w:w="870" w:type="dxa"/>
            <w:tcBorders>
              <w:top w:val="single" w:color="auto" w:sz="4" w:space="0"/>
              <w:left w:val="single" w:color="auto" w:sz="4" w:space="0"/>
              <w:bottom w:val="single" w:color="auto" w:sz="4" w:space="0"/>
              <w:right w:val="single" w:color="auto" w:sz="4" w:space="0"/>
            </w:tcBorders>
            <w:noWrap w:val="0"/>
            <w:vAlign w:val="bottom"/>
          </w:tcPr>
          <w:p>
            <w:pPr>
              <w:rPr>
                <w:rFonts w:ascii="Arial" w:hAnsi="Arial" w:cs="Arial"/>
                <w:color w:val="000000"/>
                <w:sz w:val="20"/>
                <w:szCs w:val="20"/>
              </w:rPr>
            </w:pPr>
          </w:p>
        </w:tc>
        <w:tc>
          <w:tcPr>
            <w:tcW w:w="1623" w:type="dxa"/>
            <w:tcBorders>
              <w:top w:val="single" w:color="auto" w:sz="4" w:space="0"/>
              <w:left w:val="single" w:color="auto" w:sz="4" w:space="0"/>
              <w:bottom w:val="single" w:color="auto" w:sz="4" w:space="0"/>
              <w:right w:val="single" w:color="auto" w:sz="4" w:space="0"/>
            </w:tcBorders>
            <w:noWrap w:val="0"/>
            <w:vAlign w:val="bottom"/>
          </w:tcPr>
          <w:p>
            <w:pPr>
              <w:ind w:left="218" w:leftChars="104" w:firstLine="200" w:firstLineChars="100"/>
              <w:rPr>
                <w:rFonts w:ascii="Arial" w:hAnsi="Arial" w:cs="Arial"/>
                <w:color w:val="000000"/>
                <w:sz w:val="20"/>
                <w:szCs w:val="20"/>
              </w:rPr>
            </w:pPr>
          </w:p>
        </w:tc>
        <w:tc>
          <w:tcPr>
            <w:tcW w:w="17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16"/>
                <w:szCs w:val="16"/>
                <w:u w:val="none"/>
                <w:lang w:val="en-US" w:eastAsia="zh-CN" w:bidi="ar"/>
              </w:rPr>
              <w:t>主要指标变动情况表</w:t>
            </w:r>
          </w:p>
        </w:tc>
        <w:tc>
          <w:tcPr>
            <w:tcW w:w="1394" w:type="dxa"/>
            <w:tcBorders>
              <w:top w:val="single" w:color="auto" w:sz="4" w:space="0"/>
              <w:left w:val="single" w:color="auto" w:sz="4" w:space="0"/>
              <w:bottom w:val="single" w:color="auto" w:sz="4" w:space="0"/>
              <w:right w:val="single" w:color="auto" w:sz="4" w:space="0"/>
            </w:tcBorders>
            <w:noWrap w:val="0"/>
            <w:vAlign w:val="bottom"/>
          </w:tcPr>
          <w:p/>
        </w:tc>
        <w:tc>
          <w:tcPr>
            <w:tcW w:w="626" w:type="dxa"/>
            <w:tcBorders>
              <w:top w:val="single" w:color="auto" w:sz="4" w:space="0"/>
              <w:left w:val="single" w:color="auto" w:sz="4" w:space="0"/>
              <w:bottom w:val="single" w:color="auto" w:sz="4" w:space="0"/>
              <w:right w:val="single" w:color="auto" w:sz="4" w:space="0"/>
            </w:tcBorders>
            <w:noWrap w:val="0"/>
            <w:vAlign w:val="bottom"/>
          </w:tcPr>
          <w:p/>
        </w:tc>
        <w:tc>
          <w:tcPr>
            <w:tcW w:w="1753" w:type="dxa"/>
            <w:tcBorders>
              <w:top w:val="single" w:color="auto" w:sz="4" w:space="0"/>
              <w:left w:val="single" w:color="auto" w:sz="4" w:space="0"/>
              <w:bottom w:val="single" w:color="auto" w:sz="4" w:space="0"/>
              <w:right w:val="single" w:color="auto" w:sz="4" w:space="0"/>
            </w:tcBorders>
            <w:noWrap w:val="0"/>
            <w:vAlign w:val="bottom"/>
          </w:tcPr>
          <w:p/>
        </w:tc>
      </w:tr>
      <w:tr>
        <w:tblPrEx>
          <w:tblCellMar>
            <w:top w:w="15" w:type="dxa"/>
            <w:left w:w="15" w:type="dxa"/>
            <w:bottom w:w="15" w:type="dxa"/>
            <w:right w:w="15" w:type="dxa"/>
          </w:tblCellMar>
        </w:tblPrEx>
        <w:trPr>
          <w:trHeight w:val="714" w:hRule="atLeast"/>
        </w:trPr>
        <w:tc>
          <w:tcPr>
            <w:tcW w:w="309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ind w:right="2039" w:rightChars="971"/>
              <w:jc w:val="left"/>
              <w:textAlignment w:val="bottom"/>
              <w:rPr>
                <w:rFonts w:ascii="Arial" w:hAnsi="Arial" w:cs="Arial"/>
                <w:color w:val="000000"/>
                <w:sz w:val="20"/>
                <w:szCs w:val="20"/>
              </w:rPr>
            </w:pPr>
            <w:r>
              <w:rPr>
                <w:rFonts w:hint="eastAsia" w:ascii="宋体" w:hAnsi="宋体" w:eastAsia="宋体" w:cs="宋体"/>
                <w:i w:val="0"/>
                <w:color w:val="000000"/>
                <w:kern w:val="0"/>
                <w:sz w:val="16"/>
                <w:szCs w:val="16"/>
                <w:u w:val="none"/>
                <w:lang w:val="en-US" w:eastAsia="zh-CN" w:bidi="ar"/>
              </w:rPr>
              <w:t>编制单位：鹤岗市兴安区卫生监督和健康服务中心</w:t>
            </w:r>
          </w:p>
        </w:tc>
        <w:tc>
          <w:tcPr>
            <w:tcW w:w="870" w:type="dxa"/>
            <w:tcBorders>
              <w:top w:val="single" w:color="auto" w:sz="4" w:space="0"/>
              <w:left w:val="single" w:color="auto" w:sz="4" w:space="0"/>
              <w:bottom w:val="single" w:color="auto" w:sz="4" w:space="0"/>
              <w:right w:val="single" w:color="auto" w:sz="4" w:space="0"/>
            </w:tcBorders>
            <w:noWrap w:val="0"/>
            <w:vAlign w:val="bottom"/>
          </w:tcPr>
          <w:p>
            <w:pPr>
              <w:rPr>
                <w:rFonts w:ascii="Arial" w:hAnsi="Arial" w:cs="Arial"/>
                <w:color w:val="000000"/>
                <w:sz w:val="20"/>
                <w:szCs w:val="20"/>
              </w:rPr>
            </w:pPr>
          </w:p>
        </w:tc>
        <w:tc>
          <w:tcPr>
            <w:tcW w:w="1623" w:type="dxa"/>
            <w:tcBorders>
              <w:top w:val="single" w:color="auto" w:sz="4" w:space="0"/>
              <w:left w:val="single" w:color="auto" w:sz="4" w:space="0"/>
              <w:bottom w:val="single" w:color="auto" w:sz="4" w:space="0"/>
              <w:right w:val="single" w:color="auto" w:sz="4" w:space="0"/>
            </w:tcBorders>
            <w:noWrap w:val="0"/>
            <w:vAlign w:val="bottom"/>
          </w:tcPr>
          <w:p/>
        </w:tc>
        <w:tc>
          <w:tcPr>
            <w:tcW w:w="17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16"/>
                <w:szCs w:val="16"/>
                <w:u w:val="none"/>
                <w:lang w:val="en-US" w:eastAsia="zh-CN" w:bidi="ar"/>
              </w:rPr>
              <w:t>2020年度</w:t>
            </w:r>
          </w:p>
        </w:tc>
        <w:tc>
          <w:tcPr>
            <w:tcW w:w="1394" w:type="dxa"/>
            <w:tcBorders>
              <w:top w:val="single" w:color="auto" w:sz="4" w:space="0"/>
              <w:left w:val="single" w:color="auto" w:sz="4" w:space="0"/>
              <w:bottom w:val="single" w:color="auto" w:sz="4" w:space="0"/>
              <w:right w:val="single" w:color="auto" w:sz="4" w:space="0"/>
            </w:tcBorders>
            <w:noWrap w:val="0"/>
            <w:vAlign w:val="bottom"/>
          </w:tcPr>
          <w:p/>
        </w:tc>
        <w:tc>
          <w:tcPr>
            <w:tcW w:w="626" w:type="dxa"/>
            <w:tcBorders>
              <w:top w:val="single" w:color="auto" w:sz="4" w:space="0"/>
              <w:left w:val="single" w:color="auto" w:sz="4" w:space="0"/>
              <w:bottom w:val="single" w:color="auto" w:sz="4" w:space="0"/>
              <w:right w:val="single" w:color="auto" w:sz="4" w:space="0"/>
            </w:tcBorders>
            <w:noWrap w:val="0"/>
            <w:vAlign w:val="bottom"/>
          </w:tcPr>
          <w:p/>
        </w:tc>
        <w:tc>
          <w:tcPr>
            <w:tcW w:w="1753" w:type="dxa"/>
            <w:tcBorders>
              <w:top w:val="single" w:color="auto" w:sz="4" w:space="0"/>
              <w:left w:val="single" w:color="auto" w:sz="4" w:space="0"/>
              <w:bottom w:val="single" w:color="auto" w:sz="4" w:space="0"/>
              <w:right w:val="single" w:color="auto" w:sz="4" w:space="0"/>
            </w:tcBorders>
            <w:noWrap w:val="0"/>
            <w:vAlign w:val="bottom"/>
          </w:tcPr>
          <w:p/>
        </w:tc>
      </w:tr>
      <w:tr>
        <w:tblPrEx>
          <w:tblCellMar>
            <w:top w:w="15" w:type="dxa"/>
            <w:left w:w="15" w:type="dxa"/>
            <w:bottom w:w="15" w:type="dxa"/>
            <w:right w:w="15" w:type="dxa"/>
          </w:tblCellMar>
        </w:tblPrEx>
        <w:trPr>
          <w:trHeight w:val="312"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bottom"/>
          </w:tcPr>
          <w:p>
            <w:pPr>
              <w:rPr>
                <w:rFonts w:hint="eastAsia" w:ascii="宋体" w:hAnsi="宋体" w:cs="宋体"/>
                <w:color w:val="000000"/>
                <w:sz w:val="22"/>
                <w:szCs w:val="22"/>
              </w:rPr>
            </w:pPr>
          </w:p>
        </w:tc>
        <w:tc>
          <w:tcPr>
            <w:tcW w:w="870" w:type="dxa"/>
            <w:tcBorders>
              <w:top w:val="single" w:color="auto" w:sz="4" w:space="0"/>
              <w:left w:val="single" w:color="auto" w:sz="4" w:space="0"/>
              <w:bottom w:val="single" w:color="auto" w:sz="4" w:space="0"/>
              <w:right w:val="single" w:color="auto" w:sz="4" w:space="0"/>
            </w:tcBorders>
            <w:shd w:val="clear" w:color="FFFFFF" w:fill="C0C0C0"/>
            <w:noWrap w:val="0"/>
            <w:vAlign w:val="bottom"/>
          </w:tcPr>
          <w:p>
            <w:pPr>
              <w:rPr>
                <w:rFonts w:hint="eastAsia" w:ascii="宋体" w:hAnsi="宋体" w:cs="宋体"/>
                <w:color w:val="000000"/>
                <w:sz w:val="22"/>
                <w:szCs w:val="22"/>
              </w:rPr>
            </w:pPr>
          </w:p>
        </w:tc>
        <w:tc>
          <w:tcPr>
            <w:tcW w:w="1623" w:type="dxa"/>
            <w:tcBorders>
              <w:top w:val="single" w:color="auto" w:sz="4" w:space="0"/>
              <w:left w:val="single" w:color="auto" w:sz="4" w:space="0"/>
              <w:bottom w:val="single" w:color="auto" w:sz="4" w:space="0"/>
              <w:right w:val="single" w:color="auto" w:sz="4" w:space="0"/>
            </w:tcBorders>
            <w:noWrap w:val="0"/>
            <w:vAlign w:val="bottom"/>
          </w:tcPr>
          <w:p/>
        </w:tc>
        <w:tc>
          <w:tcPr>
            <w:tcW w:w="17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2020年度</w:t>
            </w:r>
          </w:p>
        </w:tc>
        <w:tc>
          <w:tcPr>
            <w:tcW w:w="1394" w:type="dxa"/>
            <w:tcBorders>
              <w:top w:val="single" w:color="auto" w:sz="4" w:space="0"/>
              <w:left w:val="single" w:color="auto" w:sz="4" w:space="0"/>
              <w:bottom w:val="single" w:color="auto" w:sz="4" w:space="0"/>
              <w:right w:val="single" w:color="auto" w:sz="4" w:space="0"/>
            </w:tcBorders>
            <w:noWrap w:val="0"/>
            <w:vAlign w:val="bottom"/>
          </w:tcPr>
          <w:p/>
        </w:tc>
        <w:tc>
          <w:tcPr>
            <w:tcW w:w="626" w:type="dxa"/>
            <w:tcBorders>
              <w:top w:val="single" w:color="auto" w:sz="4" w:space="0"/>
              <w:left w:val="single" w:color="auto" w:sz="4" w:space="0"/>
              <w:bottom w:val="single" w:color="auto" w:sz="4" w:space="0"/>
              <w:right w:val="single" w:color="auto" w:sz="4" w:space="0"/>
            </w:tcBorders>
            <w:noWrap w:val="0"/>
            <w:vAlign w:val="bottom"/>
          </w:tcPr>
          <w:p/>
        </w:tc>
        <w:tc>
          <w:tcPr>
            <w:tcW w:w="1753" w:type="dxa"/>
            <w:tcBorders>
              <w:top w:val="single" w:color="auto" w:sz="4" w:space="0"/>
              <w:left w:val="single" w:color="auto" w:sz="4" w:space="0"/>
              <w:bottom w:val="single" w:color="auto" w:sz="4" w:space="0"/>
              <w:right w:val="single" w:color="auto" w:sz="4" w:space="0"/>
            </w:tcBorders>
            <w:noWrap w:val="0"/>
            <w:vAlign w:val="bottom"/>
          </w:tcPr>
          <w:p/>
        </w:tc>
      </w:tr>
      <w:tr>
        <w:tblPrEx>
          <w:tblCellMar>
            <w:top w:w="15" w:type="dxa"/>
            <w:left w:w="15" w:type="dxa"/>
            <w:bottom w:w="15" w:type="dxa"/>
            <w:right w:w="15" w:type="dxa"/>
          </w:tblCellMar>
        </w:tblPrEx>
        <w:trPr>
          <w:trHeight w:val="312"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指    标</w:t>
            </w:r>
          </w:p>
        </w:tc>
        <w:tc>
          <w:tcPr>
            <w:tcW w:w="87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行次</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本年度</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上年度</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比上年增减</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增减％</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原因</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 xml:space="preserve">栏    次 </w:t>
            </w:r>
          </w:p>
        </w:tc>
        <w:tc>
          <w:tcPr>
            <w:tcW w:w="87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cs="宋体"/>
                <w:color w:val="000000"/>
                <w:sz w:val="22"/>
                <w:szCs w:val="2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一、年度收支情况（单位：元）</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1.本年收入</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2,774,935.25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2,774,935.25</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185,693.40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185,693.40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*事业收入</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事业单位经营收入</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*其他收入</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21,066.34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21,066.34</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2.本年支出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其中：基本支出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9</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（1）人员经费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1,946,837.89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1,946,837.89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（2）公用经费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1,034,857.10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1,034,857.10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项目支出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事业单位经营支出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3.年末结转和结余</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二、年末资产负债信息（单位：元）</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1.货币资金</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19</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7,694.39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7,694.39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2.财政应返还额度</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3.房屋</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4.车辆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258,770.00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258,770.00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5.在建工程</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6.借款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7.应缴财政款</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8.应付职工薪酬</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三、年末机构人员情况（单位：个、人）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1.独立编制机构数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2.独立核算机构数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29</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3.年末实有人数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在职人员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其中：行政人员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参照公务员法管理事业人员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非参公事业人员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离休人员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退休人员</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我单位为2020年新成立单位，故上年数据为0。</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4.年末其他人员数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5.年末学生人数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四、补充资料（单位：元）</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39</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1.固定资产情况</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房屋面积（平方米）</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车辆数量（辆）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2.“三公”经费支出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其中：因公出国（境）费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公务用车购置及运行维护费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其中：公务用车购置费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公务接待费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3.培训费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49</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676.00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676.00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4.会议费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67"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5.机关运行经费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51</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6.年初预算数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52</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本年收入合计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53</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1,950,000.00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1,950,000.00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本年支出合计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1,950,000.00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1,950,000.00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7.调整预算数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56</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本年收入合计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57</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2,981,694.99</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本年支出合计</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58</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2,960,628.65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2,960,628.65</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jc w:val="left"/>
            </w:pPr>
          </w:p>
        </w:tc>
      </w:tr>
      <w:tr>
        <w:tblPrEx>
          <w:tblCellMar>
            <w:top w:w="15" w:type="dxa"/>
            <w:left w:w="15" w:type="dxa"/>
            <w:bottom w:w="15" w:type="dxa"/>
            <w:right w:w="15" w:type="dxa"/>
          </w:tblCellMar>
        </w:tblPrEx>
        <w:trPr>
          <w:trHeight w:val="300" w:hRule="atLeast"/>
        </w:trPr>
        <w:tc>
          <w:tcPr>
            <w:tcW w:w="3091" w:type="dxa"/>
            <w:noWrap w:val="0"/>
            <w:vAlign w:val="center"/>
          </w:tcPr>
          <w:p>
            <w:pPr>
              <w:keepNext w:val="0"/>
              <w:keepLines w:val="0"/>
              <w:widowControl/>
              <w:suppressLineNumbers w:val="0"/>
              <w:jc w:val="left"/>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870" w:type="dxa"/>
            <w:noWrap w:val="0"/>
            <w:vAlign w:val="center"/>
          </w:tcPr>
          <w:p>
            <w:pPr>
              <w:keepNext w:val="0"/>
              <w:keepLines w:val="0"/>
              <w:widowControl/>
              <w:suppressLineNumbers w:val="0"/>
              <w:jc w:val="center"/>
              <w:textAlignment w:val="center"/>
              <w:rPr>
                <w:rFonts w:ascii="宋体" w:hAnsi="宋体" w:cs="Arial"/>
                <w:color w:val="000000"/>
                <w:sz w:val="22"/>
                <w:szCs w:val="22"/>
              </w:rPr>
            </w:pPr>
            <w:r>
              <w:rPr>
                <w:rFonts w:hint="eastAsia" w:ascii="宋体" w:hAnsi="宋体" w:eastAsia="宋体" w:cs="宋体"/>
                <w:i w:val="0"/>
                <w:color w:val="000000"/>
                <w:kern w:val="0"/>
                <w:sz w:val="22"/>
                <w:szCs w:val="22"/>
                <w:u w:val="none"/>
                <w:lang w:val="en-US" w:eastAsia="zh-CN" w:bidi="ar"/>
              </w:rPr>
              <w:t>59</w:t>
            </w:r>
          </w:p>
        </w:tc>
        <w:tc>
          <w:tcPr>
            <w:tcW w:w="1623" w:type="dxa"/>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21,066.34</w:t>
            </w:r>
          </w:p>
        </w:tc>
        <w:tc>
          <w:tcPr>
            <w:tcW w:w="1776" w:type="dxa"/>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394" w:type="dxa"/>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21,066.34</w:t>
            </w:r>
          </w:p>
        </w:tc>
        <w:tc>
          <w:tcPr>
            <w:tcW w:w="626" w:type="dxa"/>
            <w:noWrap w:val="0"/>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753" w:type="dxa"/>
            <w:noWrap w:val="0"/>
            <w:vAlign w:val="center"/>
          </w:tcPr>
          <w:p>
            <w:pPr>
              <w:jc w:val="left"/>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本年度本单位总收入</w:t>
      </w:r>
      <w:r>
        <w:rPr>
          <w:rFonts w:hint="eastAsia" w:ascii="仿宋_GB2312" w:hAnsi="仿宋_GB2312" w:eastAsia="仿宋_GB2312" w:cs="仿宋_GB2312"/>
          <w:sz w:val="32"/>
          <w:szCs w:val="32"/>
          <w:lang w:val="en-US" w:eastAsia="zh-CN"/>
        </w:rPr>
        <w:t>298万</w:t>
      </w:r>
      <w:r>
        <w:rPr>
          <w:rFonts w:hint="eastAsia" w:ascii="仿宋_GB2312" w:hAnsi="仿宋_GB2312" w:eastAsia="仿宋_GB2312" w:cs="仿宋_GB2312"/>
          <w:sz w:val="32"/>
          <w:szCs w:val="32"/>
        </w:rPr>
        <w:t>元，总支出</w:t>
      </w:r>
      <w:r>
        <w:rPr>
          <w:rFonts w:hint="eastAsia" w:ascii="仿宋_GB2312" w:hAnsi="仿宋_GB2312" w:eastAsia="仿宋_GB2312" w:cs="仿宋_GB2312"/>
          <w:sz w:val="32"/>
          <w:szCs w:val="32"/>
          <w:lang w:val="en-US" w:eastAsia="zh-CN"/>
        </w:rPr>
        <w:t>298万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rPr>
          <w:rFonts w:hint="eastAsia" w:eastAsia="仿宋_GB2312" w:cs="仿宋_GB2312"/>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机关运行经费执行情况说明</w:t>
      </w:r>
    </w:p>
    <w:p>
      <w:pPr>
        <w:spacing w:line="600" w:lineRule="exact"/>
        <w:ind w:firstLine="64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本年度本单位总支出</w:t>
      </w:r>
      <w:r>
        <w:rPr>
          <w:rFonts w:hint="eastAsia" w:ascii="仿宋_GB2312" w:hAnsi="仿宋_GB2312" w:eastAsia="仿宋_GB2312" w:cs="仿宋_GB2312"/>
          <w:bCs/>
          <w:sz w:val="32"/>
          <w:szCs w:val="32"/>
          <w:lang w:val="en-US" w:eastAsia="zh-CN"/>
        </w:rPr>
        <w:t>298</w:t>
      </w:r>
      <w:r>
        <w:rPr>
          <w:rFonts w:hint="eastAsia" w:ascii="仿宋_GB2312" w:hAnsi="仿宋_GB2312" w:eastAsia="仿宋_GB2312" w:cs="仿宋_GB2312"/>
          <w:bCs/>
          <w:sz w:val="32"/>
          <w:szCs w:val="32"/>
        </w:rPr>
        <w:t>万元，其中基本支出</w:t>
      </w:r>
      <w:r>
        <w:rPr>
          <w:rFonts w:hint="eastAsia" w:ascii="仿宋_GB2312" w:hAnsi="仿宋_GB2312" w:eastAsia="仿宋_GB2312" w:cs="仿宋_GB2312"/>
          <w:bCs/>
          <w:sz w:val="32"/>
          <w:szCs w:val="32"/>
          <w:lang w:val="en-US" w:eastAsia="zh-CN"/>
        </w:rPr>
        <w:t>298</w:t>
      </w:r>
      <w:r>
        <w:rPr>
          <w:rFonts w:hint="eastAsia" w:ascii="仿宋_GB2312" w:hAnsi="仿宋_GB2312" w:eastAsia="仿宋_GB2312" w:cs="仿宋_GB2312"/>
          <w:bCs/>
          <w:sz w:val="32"/>
          <w:szCs w:val="32"/>
        </w:rPr>
        <w:t>万元，包括工资福利支出</w:t>
      </w:r>
      <w:r>
        <w:rPr>
          <w:rFonts w:hint="eastAsia" w:ascii="仿宋_GB2312" w:hAnsi="仿宋_GB2312" w:eastAsia="仿宋_GB2312" w:cs="仿宋_GB2312"/>
          <w:bCs/>
          <w:sz w:val="32"/>
          <w:szCs w:val="32"/>
          <w:lang w:val="en-US" w:eastAsia="zh-CN"/>
        </w:rPr>
        <w:t>151</w:t>
      </w:r>
      <w:r>
        <w:rPr>
          <w:rFonts w:hint="eastAsia" w:ascii="仿宋_GB2312" w:hAnsi="仿宋_GB2312" w:eastAsia="仿宋_GB2312" w:cs="仿宋_GB2312"/>
          <w:bCs/>
          <w:sz w:val="32"/>
          <w:szCs w:val="32"/>
        </w:rPr>
        <w:t>万元，商品和服务支出</w:t>
      </w:r>
      <w:r>
        <w:rPr>
          <w:rFonts w:hint="eastAsia" w:ascii="仿宋_GB2312" w:hAnsi="仿宋_GB2312" w:eastAsia="仿宋_GB2312" w:cs="仿宋_GB2312"/>
          <w:bCs/>
          <w:sz w:val="32"/>
          <w:szCs w:val="32"/>
          <w:lang w:val="en-US" w:eastAsia="zh-CN"/>
        </w:rPr>
        <w:t>84</w:t>
      </w:r>
      <w:r>
        <w:rPr>
          <w:rFonts w:hint="eastAsia" w:ascii="仿宋_GB2312" w:hAnsi="仿宋_GB2312" w:eastAsia="仿宋_GB2312" w:cs="仿宋_GB2312"/>
          <w:bCs/>
          <w:sz w:val="32"/>
          <w:szCs w:val="32"/>
        </w:rPr>
        <w:t>万元，对个人和家庭的补助</w:t>
      </w:r>
      <w:r>
        <w:rPr>
          <w:rFonts w:hint="eastAsia" w:ascii="仿宋_GB2312" w:hAnsi="仿宋_GB2312" w:eastAsia="仿宋_GB2312" w:cs="仿宋_GB2312"/>
          <w:bCs/>
          <w:sz w:val="32"/>
          <w:szCs w:val="32"/>
          <w:lang w:val="en-US" w:eastAsia="zh-CN"/>
        </w:rPr>
        <w:t>44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，政府性基金支出</w:t>
      </w:r>
      <w:r>
        <w:rPr>
          <w:rFonts w:hint="eastAsia" w:ascii="仿宋_GB2312" w:hAnsi="仿宋_GB2312" w:eastAsia="仿宋_GB2312" w:cs="仿宋_GB2312"/>
          <w:bCs/>
          <w:sz w:val="32"/>
          <w:szCs w:val="32"/>
          <w:lang w:val="en-US" w:eastAsia="zh-CN"/>
        </w:rPr>
        <w:t>19万元。</w:t>
      </w: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spacing w:line="600" w:lineRule="exact"/>
        <w:ind w:firstLine="642"/>
        <w:rPr>
          <w:rFonts w:hint="eastAsia" w:ascii="仿宋_GB2312" w:hAnsi="仿宋_GB2312" w:eastAsia="仿宋_GB2312" w:cs="仿宋_GB2312"/>
          <w:bCs/>
          <w:sz w:val="32"/>
          <w:szCs w:val="32"/>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政府采购执行情况说明</w:t>
      </w:r>
    </w:p>
    <w:p>
      <w:pPr>
        <w:ind w:firstLine="645"/>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年无政府采购预算安排。</w:t>
      </w:r>
    </w:p>
    <w:p>
      <w:pPr>
        <w:spacing w:line="600" w:lineRule="exact"/>
        <w:ind w:firstLine="640"/>
        <w:rPr>
          <w:rFonts w:hint="eastAsia" w:ascii="仿宋_GB2312" w:hAnsi="仿宋_GB2312" w:eastAsia="仿宋_GB2312" w:cs="仿宋_GB2312"/>
          <w:bCs/>
          <w:color w:val="FF0000"/>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ind w:firstLine="640"/>
        <w:rPr>
          <w:rFonts w:hint="eastAsia" w:ascii="仿宋_GB2312" w:hAnsi="仿宋_GB2312" w:eastAsia="仿宋_GB2312" w:cs="仿宋_GB2312"/>
          <w:bCs/>
          <w:sz w:val="32"/>
          <w:szCs w:val="32"/>
        </w:rPr>
      </w:pPr>
    </w:p>
    <w:p>
      <w:pPr>
        <w:spacing w:line="600" w:lineRule="exact"/>
        <w:rPr>
          <w:rFonts w:hint="eastAsia" w:ascii="仿宋_GB2312" w:hAnsi="仿宋_GB2312" w:eastAsia="仿宋_GB2312" w:cs="仿宋_GB2312"/>
          <w:bCs/>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国有资产占有使用情况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21"/>
        </w:rPr>
        <w:t>我单位共有固定资产</w:t>
      </w:r>
      <w:r>
        <w:rPr>
          <w:rFonts w:hint="eastAsia" w:ascii="仿宋_GB2312" w:hAnsi="仿宋_GB2312" w:eastAsia="仿宋_GB2312" w:cs="仿宋_GB2312"/>
          <w:sz w:val="32"/>
          <w:szCs w:val="21"/>
          <w:lang w:val="en-US" w:eastAsia="zh-CN"/>
        </w:rPr>
        <w:t>821210.29</w:t>
      </w:r>
      <w:r>
        <w:rPr>
          <w:rFonts w:hint="eastAsia" w:ascii="仿宋_GB2312" w:hAnsi="仿宋_GB2312" w:eastAsia="仿宋_GB2312" w:cs="仿宋_GB2312"/>
          <w:sz w:val="32"/>
          <w:szCs w:val="21"/>
        </w:rPr>
        <w:t>元，其中通用设备</w:t>
      </w:r>
      <w:r>
        <w:rPr>
          <w:rFonts w:hint="eastAsia" w:ascii="仿宋_GB2312" w:hAnsi="仿宋_GB2312" w:eastAsia="仿宋_GB2312" w:cs="仿宋_GB2312"/>
          <w:sz w:val="32"/>
          <w:szCs w:val="21"/>
          <w:lang w:val="en-US" w:eastAsia="zh-CN"/>
        </w:rPr>
        <w:t>809993.74</w:t>
      </w:r>
      <w:r>
        <w:rPr>
          <w:rFonts w:hint="eastAsia" w:ascii="仿宋_GB2312" w:hAnsi="仿宋_GB2312" w:eastAsia="仿宋_GB2312" w:cs="仿宋_GB2312"/>
          <w:sz w:val="32"/>
          <w:szCs w:val="21"/>
        </w:rPr>
        <w:t>元，车辆</w:t>
      </w:r>
      <w:r>
        <w:rPr>
          <w:rFonts w:hint="eastAsia" w:ascii="仿宋_GB2312" w:hAnsi="仿宋_GB2312" w:eastAsia="仿宋_GB2312" w:cs="仿宋_GB2312"/>
          <w:sz w:val="32"/>
          <w:szCs w:val="21"/>
          <w:lang w:val="en-US" w:eastAsia="zh-CN"/>
        </w:rPr>
        <w:t>2</w:t>
      </w:r>
      <w:r>
        <w:rPr>
          <w:rFonts w:hint="eastAsia" w:ascii="仿宋_GB2312" w:hAnsi="仿宋_GB2312" w:eastAsia="仿宋_GB2312" w:cs="仿宋_GB2312"/>
          <w:sz w:val="32"/>
          <w:szCs w:val="21"/>
        </w:rPr>
        <w:t>台，家具用具</w:t>
      </w:r>
      <w:r>
        <w:rPr>
          <w:rFonts w:hint="eastAsia" w:ascii="仿宋_GB2312" w:hAnsi="仿宋_GB2312" w:eastAsia="仿宋_GB2312" w:cs="仿宋_GB2312"/>
          <w:sz w:val="32"/>
          <w:szCs w:val="21"/>
          <w:lang w:val="en-US" w:eastAsia="zh-CN"/>
        </w:rPr>
        <w:t>11216.55</w:t>
      </w:r>
      <w:r>
        <w:rPr>
          <w:rFonts w:hint="eastAsia" w:ascii="仿宋_GB2312" w:hAnsi="仿宋_GB2312" w:eastAsia="仿宋_GB2312" w:cs="仿宋_GB2312"/>
          <w:sz w:val="32"/>
          <w:szCs w:val="21"/>
        </w:rPr>
        <w:t>元</w:t>
      </w:r>
      <w:r>
        <w:rPr>
          <w:rFonts w:hint="eastAsia" w:ascii="仿宋_GB2312" w:hAnsi="仿宋_GB2312" w:eastAsia="仿宋_GB2312" w:cs="仿宋_GB2312"/>
          <w:sz w:val="32"/>
          <w:szCs w:val="21"/>
          <w:lang w:eastAsia="zh-CN"/>
        </w:rPr>
        <w:t>。</w:t>
      </w: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rPr>
          <w:rFonts w:hint="eastAsia" w:eastAsia="仿宋_GB2312" w:cs="仿宋_GB2312"/>
          <w:sz w:val="32"/>
          <w:szCs w:val="32"/>
        </w:rPr>
      </w:pPr>
    </w:p>
    <w:p>
      <w:pPr>
        <w:ind w:firstLine="640" w:firstLineChars="200"/>
        <w:rPr>
          <w:rFonts w:hint="eastAsia" w:eastAsia="仿宋_GB2312" w:cs="仿宋_GB2312"/>
          <w:sz w:val="32"/>
          <w:szCs w:val="32"/>
        </w:rPr>
      </w:pPr>
    </w:p>
    <w:p>
      <w:pPr>
        <w:numPr>
          <w:ilvl w:val="0"/>
          <w:numId w:val="0"/>
        </w:numPr>
        <w:rPr>
          <w:rFonts w:hint="eastAsia" w:eastAsia="仿宋_GB2312" w:cs="仿宋_GB2312"/>
          <w:b/>
          <w:bCs/>
          <w:sz w:val="32"/>
          <w:szCs w:val="32"/>
          <w:lang w:eastAsia="zh-CN"/>
        </w:rPr>
      </w:pPr>
    </w:p>
    <w:p>
      <w:pPr>
        <w:numPr>
          <w:ilvl w:val="0"/>
          <w:numId w:val="0"/>
        </w:numPr>
        <w:rPr>
          <w:rFonts w:hint="eastAsia" w:eastAsia="仿宋_GB2312" w:cs="仿宋_GB2312"/>
          <w:b/>
          <w:bCs/>
          <w:sz w:val="32"/>
          <w:szCs w:val="32"/>
          <w:lang w:eastAsia="zh-CN"/>
        </w:rPr>
      </w:pPr>
    </w:p>
    <w:p>
      <w:pPr>
        <w:numPr>
          <w:ilvl w:val="0"/>
          <w:numId w:val="0"/>
        </w:numPr>
        <w:rPr>
          <w:rFonts w:hint="eastAsia" w:eastAsia="仿宋_GB2312" w:cs="仿宋_GB2312"/>
          <w:b/>
          <w:bCs/>
          <w:sz w:val="32"/>
          <w:szCs w:val="32"/>
          <w:lang w:eastAsia="zh-CN"/>
        </w:rPr>
      </w:pPr>
    </w:p>
    <w:p>
      <w:pPr>
        <w:numPr>
          <w:ilvl w:val="0"/>
          <w:numId w:val="0"/>
        </w:numPr>
        <w:rPr>
          <w:rFonts w:hint="eastAsia" w:eastAsia="仿宋_GB2312" w:cs="仿宋_GB2312"/>
          <w:b/>
          <w:bCs/>
          <w:sz w:val="32"/>
          <w:szCs w:val="32"/>
          <w:lang w:eastAsia="zh-CN"/>
        </w:rPr>
      </w:pPr>
    </w:p>
    <w:p>
      <w:pPr>
        <w:numPr>
          <w:ilvl w:val="0"/>
          <w:numId w:val="0"/>
        </w:numPr>
        <w:rPr>
          <w:rFonts w:hint="eastAsia" w:eastAsia="仿宋_GB2312" w:cs="仿宋_GB2312"/>
          <w:b/>
          <w:bCs/>
          <w:sz w:val="32"/>
          <w:szCs w:val="32"/>
          <w:lang w:eastAsia="zh-CN"/>
        </w:rPr>
      </w:pPr>
    </w:p>
    <w:p>
      <w:pPr>
        <w:numPr>
          <w:ilvl w:val="0"/>
          <w:numId w:val="0"/>
        </w:numPr>
        <w:rPr>
          <w:rFonts w:hint="eastAsia" w:ascii="仿宋_GB2312" w:hAnsi="仿宋_GB2312" w:eastAsia="仿宋_GB2312" w:cs="仿宋_GB2312"/>
          <w:bCs/>
          <w:color w:val="FF0000"/>
          <w:sz w:val="32"/>
          <w:szCs w:val="32"/>
        </w:rPr>
      </w:pPr>
      <w:r>
        <w:rPr>
          <w:rFonts w:hint="eastAsia" w:eastAsia="仿宋_GB2312" w:cs="仿宋_GB2312"/>
          <w:b/>
          <w:bCs/>
          <w:sz w:val="32"/>
          <w:szCs w:val="32"/>
          <w:lang w:eastAsia="zh-CN"/>
        </w:rPr>
        <w:t>八、</w:t>
      </w:r>
      <w:r>
        <w:rPr>
          <w:rFonts w:hint="eastAsia" w:eastAsia="仿宋_GB2312" w:cs="仿宋_GB2312"/>
          <w:b/>
          <w:bCs/>
          <w:sz w:val="32"/>
          <w:szCs w:val="32"/>
        </w:rPr>
        <w:t>重</w:t>
      </w:r>
      <w:r>
        <w:rPr>
          <w:rFonts w:hint="eastAsia" w:ascii="仿宋_GB2312" w:hAnsi="仿宋_GB2312" w:eastAsia="仿宋_GB2312" w:cs="仿宋_GB2312"/>
          <w:b/>
          <w:sz w:val="32"/>
          <w:szCs w:val="32"/>
        </w:rPr>
        <w:t>点绩效评价结果等预算绩效情况说明</w:t>
      </w:r>
    </w:p>
    <w:p>
      <w:pPr>
        <w:ind w:firstLine="640" w:firstLineChars="200"/>
        <w:rPr>
          <w:rFonts w:hint="eastAsia" w:eastAsia="仿宋_GB2312" w:cs="仿宋_GB2312"/>
          <w:sz w:val="32"/>
          <w:szCs w:val="32"/>
        </w:rPr>
      </w:pPr>
      <w:r>
        <w:rPr>
          <w:rFonts w:eastAsia="仿宋_GB2312" w:cs="仿宋_GB2312"/>
          <w:sz w:val="32"/>
          <w:szCs w:val="32"/>
        </w:rPr>
        <w:t>20</w:t>
      </w:r>
      <w:r>
        <w:rPr>
          <w:rFonts w:hint="eastAsia" w:eastAsia="仿宋_GB2312" w:cs="仿宋_GB2312"/>
          <w:sz w:val="32"/>
          <w:szCs w:val="32"/>
          <w:lang w:val="en-US" w:eastAsia="zh-CN"/>
        </w:rPr>
        <w:t>20</w:t>
      </w:r>
      <w:r>
        <w:rPr>
          <w:rFonts w:hint="eastAsia" w:eastAsia="仿宋_GB2312" w:cs="仿宋_GB2312"/>
          <w:sz w:val="32"/>
          <w:szCs w:val="32"/>
        </w:rPr>
        <w:t>年预算中主要重点支出项目为人员经费支出和行政事业类公用经费支出。人员经费支出保证了机关在职、退休人员工资的正常发放。公用经费支出保证了我单位机构的正常运转。</w:t>
      </w: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“三公”经费情况及增减变化原因说明</w:t>
      </w:r>
    </w:p>
    <w:p>
      <w:pPr>
        <w:ind w:firstLine="640" w:firstLineChars="200"/>
        <w:rPr>
          <w:rFonts w:hint="eastAsia" w:ascii="仿宋_GB2312" w:eastAsia="仿宋_GB2312"/>
          <w:sz w:val="32"/>
          <w:szCs w:val="32"/>
        </w:rPr>
      </w:pPr>
      <w:r>
        <w:rPr>
          <w:rFonts w:hint="eastAsia" w:ascii="仿宋_GB2312" w:eastAsia="仿宋_GB2312"/>
          <w:sz w:val="32"/>
          <w:szCs w:val="32"/>
        </w:rPr>
        <w:t>全年“三公”经费支出合计0元。</w:t>
      </w:r>
    </w:p>
    <w:p>
      <w:pPr>
        <w:ind w:firstLine="640" w:firstLineChars="200"/>
        <w:rPr>
          <w:rFonts w:hint="eastAsia" w:ascii="仿宋_GB2312" w:eastAsia="仿宋_GB2312"/>
          <w:sz w:val="32"/>
          <w:szCs w:val="32"/>
        </w:rPr>
      </w:pPr>
      <w:r>
        <w:rPr>
          <w:rFonts w:hint="eastAsia" w:ascii="仿宋_GB2312" w:eastAsia="仿宋_GB2312"/>
          <w:sz w:val="32"/>
          <w:szCs w:val="32"/>
        </w:rPr>
        <w:t>其中,因公出国（境）费0万元；</w:t>
      </w:r>
    </w:p>
    <w:p>
      <w:pPr>
        <w:ind w:firstLine="640" w:firstLineChars="200"/>
        <w:rPr>
          <w:rFonts w:hint="eastAsia" w:ascii="仿宋_GB2312" w:eastAsia="仿宋_GB2312"/>
          <w:color w:val="FF0000"/>
          <w:sz w:val="32"/>
          <w:szCs w:val="32"/>
        </w:rPr>
      </w:pPr>
      <w:r>
        <w:rPr>
          <w:rFonts w:hint="eastAsia" w:ascii="仿宋_GB2312" w:eastAsia="仿宋_GB2312"/>
          <w:sz w:val="32"/>
          <w:szCs w:val="32"/>
        </w:rPr>
        <w:t>公务用车购置及运行维护费0元，公务用车购置数0，公务用车购置费0万元，公务用车保有量0辆，公务用车运行维护费0元。</w:t>
      </w:r>
    </w:p>
    <w:p>
      <w:pPr>
        <w:ind w:firstLine="640" w:firstLineChars="200"/>
        <w:rPr>
          <w:rFonts w:hint="eastAsia" w:ascii="仿宋_GB2312" w:eastAsia="仿宋_GB2312"/>
          <w:sz w:val="32"/>
          <w:szCs w:val="32"/>
        </w:rPr>
      </w:pPr>
      <w:r>
        <w:rPr>
          <w:rFonts w:hint="eastAsia" w:ascii="仿宋_GB2312" w:eastAsia="仿宋_GB2312"/>
          <w:sz w:val="32"/>
          <w:szCs w:val="32"/>
        </w:rPr>
        <w:t>公务接待费0元，国内公务接待批次0次，国内公务接待人次0人次。</w:t>
      </w:r>
    </w:p>
    <w:p>
      <w:pPr>
        <w:ind w:firstLine="640" w:firstLineChars="200"/>
        <w:rPr>
          <w:rFonts w:hint="eastAsia" w:ascii="仿宋_GB2312" w:eastAsia="仿宋_GB2312"/>
          <w:sz w:val="32"/>
          <w:szCs w:val="32"/>
        </w:rPr>
      </w:pPr>
      <w:r>
        <w:rPr>
          <w:rFonts w:hint="eastAsia" w:ascii="仿宋_GB2312" w:eastAsia="仿宋_GB2312"/>
          <w:sz w:val="32"/>
          <w:szCs w:val="32"/>
        </w:rPr>
        <w:t>我单位三公经费减少原因是认真贯彻落实中央关于厉行节约的要求，严格规范公务用车管理，从而减少公务用车运行维护经费预算支出费用。</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名词解释</w:t>
      </w:r>
    </w:p>
    <w:p>
      <w:pPr>
        <w:ind w:firstLine="645"/>
        <w:rPr>
          <w:rFonts w:hint="eastAsia" w:ascii="仿宋_GB2312" w:eastAsia="仿宋_GB2312"/>
          <w:sz w:val="32"/>
          <w:szCs w:val="32"/>
        </w:rPr>
      </w:pPr>
      <w:r>
        <w:rPr>
          <w:rFonts w:hint="eastAsia" w:ascii="仿宋_GB2312" w:eastAsia="仿宋_GB2312"/>
          <w:sz w:val="32"/>
          <w:szCs w:val="32"/>
        </w:rPr>
        <w:t>单位本部门决算及“三公”经费决算中相关名词解释如下：</w:t>
      </w:r>
    </w:p>
    <w:p>
      <w:pPr>
        <w:ind w:firstLine="645"/>
        <w:rPr>
          <w:rFonts w:hint="eastAsia" w:ascii="仿宋_GB2312" w:eastAsia="仿宋_GB2312"/>
          <w:sz w:val="32"/>
          <w:szCs w:val="32"/>
        </w:rPr>
      </w:pPr>
      <w:r>
        <w:rPr>
          <w:rFonts w:hint="eastAsia" w:ascii="仿宋_GB2312" w:eastAsia="仿宋_GB2312"/>
          <w:sz w:val="32"/>
          <w:szCs w:val="32"/>
        </w:rPr>
        <w:t>1.财政拨款收入：本级财政部门当年拨付的财政预算资金，包括公共预算财政拨款和政府性基金预算财政拨款。</w:t>
      </w:r>
    </w:p>
    <w:p>
      <w:pPr>
        <w:ind w:firstLine="645"/>
        <w:rPr>
          <w:rFonts w:ascii="仿宋_GB2312" w:eastAsia="仿宋_GB2312"/>
          <w:sz w:val="32"/>
          <w:szCs w:val="32"/>
        </w:rPr>
      </w:pPr>
      <w:r>
        <w:rPr>
          <w:rFonts w:hint="eastAsia" w:ascii="仿宋_GB2312" w:eastAsia="仿宋_GB2312"/>
          <w:sz w:val="32"/>
          <w:szCs w:val="32"/>
        </w:rPr>
        <w:t>2.专户资金:教育收费和彩票发行和销售机构业务费作为本部门的事业收入，纳入财政专户管理的资金。</w:t>
      </w:r>
    </w:p>
    <w:p>
      <w:pPr>
        <w:ind w:firstLine="645"/>
        <w:rPr>
          <w:rFonts w:ascii="仿宋_GB2312" w:eastAsia="仿宋_GB2312"/>
          <w:sz w:val="32"/>
          <w:szCs w:val="32"/>
        </w:rPr>
      </w:pPr>
      <w:r>
        <w:rPr>
          <w:rFonts w:hint="eastAsia" w:ascii="仿宋_GB2312" w:eastAsia="仿宋_GB2312"/>
          <w:sz w:val="32"/>
          <w:szCs w:val="32"/>
        </w:rPr>
        <w:t>3．事业收入：事业单位开展专业业务活动及辅助活动所取得的收入，不含专户资金收入。</w:t>
      </w:r>
    </w:p>
    <w:p>
      <w:pPr>
        <w:ind w:firstLine="645"/>
        <w:rPr>
          <w:rFonts w:ascii="仿宋_GB2312" w:eastAsia="仿宋_GB2312"/>
          <w:sz w:val="32"/>
          <w:szCs w:val="32"/>
        </w:rPr>
      </w:pPr>
      <w:r>
        <w:rPr>
          <w:rFonts w:hint="eastAsia" w:ascii="仿宋_GB2312" w:eastAsia="仿宋_GB2312"/>
          <w:sz w:val="32"/>
          <w:szCs w:val="32"/>
        </w:rPr>
        <w:t>4．事业单位经营收入：事业单位在专业业务活动及辅助活动之外开展非独立核算经营活动取得的收入。</w:t>
      </w:r>
    </w:p>
    <w:p>
      <w:pPr>
        <w:ind w:firstLine="645"/>
        <w:rPr>
          <w:rFonts w:ascii="仿宋_GB2312" w:eastAsia="仿宋_GB2312"/>
          <w:sz w:val="32"/>
          <w:szCs w:val="32"/>
        </w:rPr>
      </w:pPr>
      <w:r>
        <w:rPr>
          <w:rFonts w:hint="eastAsia" w:ascii="仿宋_GB2312" w:eastAsia="仿宋_GB2312"/>
          <w:sz w:val="32"/>
          <w:szCs w:val="32"/>
        </w:rPr>
        <w:t>5.其他收入：预算单位在“财政拨款、事业收入、经营收入”等之外取得的各项收入（含上级补助收入和附属单位缴款等收入）。</w:t>
      </w:r>
    </w:p>
    <w:p>
      <w:pPr>
        <w:ind w:firstLine="645"/>
        <w:rPr>
          <w:rFonts w:ascii="仿宋_GB2312" w:eastAsia="仿宋_GB2312"/>
          <w:sz w:val="32"/>
          <w:szCs w:val="32"/>
        </w:rPr>
      </w:pPr>
      <w:r>
        <w:rPr>
          <w:rFonts w:hint="eastAsia" w:ascii="仿宋_GB2312" w:eastAsia="仿宋_GB2312"/>
          <w:sz w:val="32"/>
          <w:szCs w:val="32"/>
        </w:rPr>
        <w:t>6.用事业基金弥补收支差额：指事业单位在当年的“财政拨款收入”、“专户资金”、“事业收入”、“事业单位经营收入”、“其他收入”、“上年结转”等不足以安排当年支出的情况下，使用以前年度积累的事业基金弥补本年收支缺口的资金。</w:t>
      </w:r>
    </w:p>
    <w:p>
      <w:pPr>
        <w:ind w:firstLine="645"/>
        <w:rPr>
          <w:rFonts w:ascii="仿宋_GB2312" w:eastAsia="仿宋_GB2312"/>
          <w:sz w:val="32"/>
          <w:szCs w:val="32"/>
        </w:rPr>
      </w:pPr>
      <w:r>
        <w:rPr>
          <w:rFonts w:hint="eastAsia" w:ascii="仿宋_GB2312" w:eastAsia="仿宋_GB2312"/>
          <w:sz w:val="32"/>
          <w:szCs w:val="32"/>
        </w:rPr>
        <w:t>7.上年结转：是指预算单位以前年度的收入预算未执行完毕，需结转本年度按照原用途继续使用的结转资金，以及以前年度收支相抵后的盈余或亏损结余资金。</w:t>
      </w:r>
    </w:p>
    <w:p>
      <w:pPr>
        <w:ind w:firstLine="645"/>
        <w:rPr>
          <w:rFonts w:hint="eastAsia" w:ascii="仿宋_GB2312" w:eastAsia="仿宋_GB2312"/>
          <w:sz w:val="32"/>
          <w:szCs w:val="32"/>
        </w:rPr>
      </w:pPr>
      <w:r>
        <w:rPr>
          <w:rFonts w:hint="eastAsia" w:ascii="仿宋_GB2312" w:eastAsia="仿宋_GB2312"/>
          <w:sz w:val="32"/>
          <w:szCs w:val="32"/>
        </w:rPr>
        <w:t>8．结转下年：是指预算单位本年底前的收入预算未执行完毕，需结转下年度按照原用途继续使用的结转资金，以及本年底前收支相抵后盈余或亏损的结余资金，其中包括当年事业单位按照国家规定，用于核算当年应交所得税和提取事业基金、专用基金的分配情况和结果。</w:t>
      </w:r>
    </w:p>
    <w:p>
      <w:pPr>
        <w:ind w:firstLine="645"/>
        <w:rPr>
          <w:rFonts w:ascii="仿宋_GB2312" w:eastAsia="仿宋_GB2312"/>
          <w:sz w:val="32"/>
          <w:szCs w:val="32"/>
        </w:rPr>
      </w:pPr>
      <w:r>
        <w:rPr>
          <w:rFonts w:hint="eastAsia" w:ascii="仿宋_GB2312" w:eastAsia="仿宋_GB2312"/>
          <w:sz w:val="32"/>
          <w:szCs w:val="32"/>
        </w:rPr>
        <w:t>9.基本支出：是预算单位为保障其正常运转，完成日常工作任务所发生的支出，包括人员支出和日常公用支出。</w:t>
      </w:r>
    </w:p>
    <w:p>
      <w:pPr>
        <w:ind w:firstLine="645"/>
        <w:rPr>
          <w:rFonts w:hint="eastAsia" w:ascii="仿宋_GB2312" w:eastAsia="仿宋_GB2312"/>
          <w:sz w:val="32"/>
          <w:szCs w:val="32"/>
        </w:rPr>
      </w:pPr>
      <w:r>
        <w:rPr>
          <w:rFonts w:hint="eastAsia" w:ascii="仿宋_GB2312" w:eastAsia="仿宋_GB2312"/>
          <w:sz w:val="32"/>
          <w:szCs w:val="32"/>
        </w:rPr>
        <w:t>10.项目支出：是预算单位为完成其特定的行政工作任务或事业发展目标所发生的支出。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机关运行经费：是指各部门的公用经费，包括办公费及印刷费、邮电费、差旅费、会议费、福利费、日常维修费、专用材料及一般设备购置费、办公用房水电费、办公用房取暖费、办公用房物业管理费、公务用车运行维护费及其他费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12.三公经费：是指因公出国（境）费、公务用车购置及运行费、公务接待费三项经费支出。</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numPr>
          <w:ilvl w:val="0"/>
          <w:numId w:val="0"/>
        </w:numPr>
        <w:rPr>
          <w:rFonts w:hint="eastAsia" w:ascii="宋体" w:hAnsi="宋体" w:eastAsia="宋体" w:cs="宋体"/>
          <w:b w:val="0"/>
          <w:bCs w:val="0"/>
          <w:sz w:val="32"/>
          <w:szCs w:val="32"/>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429BA"/>
    <w:multiLevelType w:val="singleLevel"/>
    <w:tmpl w:val="582429BA"/>
    <w:lvl w:ilvl="0" w:tentative="0">
      <w:start w:val="1"/>
      <w:numFmt w:val="chineseCounting"/>
      <w:suff w:val="nothing"/>
      <w:lvlText w:val="%1、"/>
      <w:lvlJc w:val="left"/>
    </w:lvl>
  </w:abstractNum>
  <w:abstractNum w:abstractNumId="1">
    <w:nsid w:val="59F41961"/>
    <w:multiLevelType w:val="singleLevel"/>
    <w:tmpl w:val="59F41961"/>
    <w:lvl w:ilvl="0" w:tentative="0">
      <w:start w:val="1"/>
      <w:numFmt w:val="chineseCounting"/>
      <w:suff w:val="nothing"/>
      <w:lvlText w:val="%1、"/>
      <w:lvlJc w:val="left"/>
      <w:pPr>
        <w:ind w:left="0" w:firstLine="420"/>
      </w:pPr>
      <w:rPr>
        <w:rFonts w:hint="eastAsia"/>
      </w:rPr>
    </w:lvl>
  </w:abstractNum>
  <w:abstractNum w:abstractNumId="2">
    <w:nsid w:val="59F41998"/>
    <w:multiLevelType w:val="singleLevel"/>
    <w:tmpl w:val="59F41998"/>
    <w:lvl w:ilvl="0" w:tentative="0">
      <w:start w:val="1"/>
      <w:numFmt w:val="chineseCounting"/>
      <w:suff w:val="nothing"/>
      <w:lvlText w:val="（%1）"/>
      <w:lvlJc w:val="left"/>
    </w:lvl>
  </w:abstractNum>
  <w:abstractNum w:abstractNumId="3">
    <w:nsid w:val="59F419F5"/>
    <w:multiLevelType w:val="singleLevel"/>
    <w:tmpl w:val="59F419F5"/>
    <w:lvl w:ilvl="0" w:tentative="0">
      <w:start w:val="3"/>
      <w:numFmt w:val="chineseCounting"/>
      <w:suff w:val="nothing"/>
      <w:lvlText w:val="%1、"/>
      <w:lvlJc w:val="left"/>
    </w:lvl>
  </w:abstractNum>
  <w:abstractNum w:abstractNumId="4">
    <w:nsid w:val="59F41AC9"/>
    <w:multiLevelType w:val="singleLevel"/>
    <w:tmpl w:val="59F41AC9"/>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GFhMGZiMWU1MzQ1MTRjM2JkM2YxOTM2OWMxOTMifQ=="/>
  </w:docVars>
  <w:rsids>
    <w:rsidRoot w:val="49FC5E0C"/>
    <w:rsid w:val="49FC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2023-09-08T09:19:00Z</dcterms:created>
  <dc:creator>冯科强</dc:creator>
  <cp:lastModifiedBy>冯科强</cp:lastModifiedBy>
  <dcterms:modified xsi:type="dcterms:W3CDTF">2023-09-08T09:34:16Z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759269B5DADD4D569F56CFC5AE531327_11</vt:lpwstr>
  </property>
</Properties>
</file>