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目录</w:t>
      </w:r>
    </w:p>
    <w:p>
      <w:pPr>
        <w:numPr>
          <w:ilvl w:val="0"/>
          <w:numId w:val="1"/>
        </w:numPr>
        <w:ind w:left="0" w:leftChars="0" w:firstLine="420" w:firstLineChars="0"/>
        <w:jc w:val="left"/>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20</w:t>
      </w:r>
      <w:r>
        <w:rPr>
          <w:rFonts w:hint="eastAsia" w:ascii="宋体" w:hAnsi="宋体" w:cs="宋体"/>
          <w:b w:val="0"/>
          <w:bCs w:val="0"/>
          <w:sz w:val="32"/>
          <w:szCs w:val="32"/>
          <w:lang w:val="en-US" w:eastAsia="zh-CN"/>
        </w:rPr>
        <w:t>20</w:t>
      </w:r>
      <w:r>
        <w:rPr>
          <w:rFonts w:hint="eastAsia" w:ascii="宋体" w:hAnsi="宋体" w:eastAsia="宋体" w:cs="宋体"/>
          <w:b w:val="0"/>
          <w:bCs w:val="0"/>
          <w:sz w:val="32"/>
          <w:szCs w:val="32"/>
          <w:lang w:eastAsia="zh-CN"/>
        </w:rPr>
        <w:t>年部门决算批复</w:t>
      </w:r>
    </w:p>
    <w:p>
      <w:pPr>
        <w:numPr>
          <w:ilvl w:val="0"/>
          <w:numId w:val="1"/>
        </w:numPr>
        <w:ind w:left="0" w:leftChars="0" w:firstLine="420" w:firstLineChars="0"/>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本级决算和所属单位决算汇总决算</w:t>
      </w:r>
    </w:p>
    <w:p>
      <w:pPr>
        <w:numPr>
          <w:ilvl w:val="0"/>
          <w:numId w:val="2"/>
        </w:numPr>
        <w:ind w:left="420" w:leftChars="0"/>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部门收支总体情况表</w:t>
      </w:r>
    </w:p>
    <w:p>
      <w:pPr>
        <w:numPr>
          <w:ilvl w:val="0"/>
          <w:numId w:val="2"/>
        </w:numPr>
        <w:ind w:left="420" w:leftChars="0"/>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部门收入总体情况表</w:t>
      </w:r>
    </w:p>
    <w:p>
      <w:pPr>
        <w:numPr>
          <w:ilvl w:val="0"/>
          <w:numId w:val="2"/>
        </w:numPr>
        <w:ind w:left="420" w:leftChars="0"/>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部门支出总体情况表</w:t>
      </w:r>
    </w:p>
    <w:p>
      <w:pPr>
        <w:numPr>
          <w:ilvl w:val="0"/>
          <w:numId w:val="2"/>
        </w:numPr>
        <w:ind w:left="420" w:leftChars="0"/>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财政拨款收支总体情况表</w:t>
      </w:r>
    </w:p>
    <w:p>
      <w:pPr>
        <w:numPr>
          <w:ilvl w:val="0"/>
          <w:numId w:val="2"/>
        </w:numPr>
        <w:ind w:left="420" w:leftChars="0"/>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一般公共预算支出情况表</w:t>
      </w:r>
    </w:p>
    <w:p>
      <w:pPr>
        <w:numPr>
          <w:ilvl w:val="0"/>
          <w:numId w:val="2"/>
        </w:numPr>
        <w:ind w:left="420" w:leftChars="0"/>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一般公共预算基本支出情况表</w:t>
      </w:r>
    </w:p>
    <w:p>
      <w:pPr>
        <w:numPr>
          <w:ilvl w:val="0"/>
          <w:numId w:val="2"/>
        </w:numPr>
        <w:ind w:left="420" w:leftChars="0"/>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一般公共预算三公经费支出情况表</w:t>
      </w:r>
    </w:p>
    <w:p>
      <w:pPr>
        <w:numPr>
          <w:ilvl w:val="0"/>
          <w:numId w:val="2"/>
        </w:numPr>
        <w:ind w:left="420" w:leftChars="0"/>
        <w:rPr>
          <w:rFonts w:hint="eastAsia" w:ascii="宋体" w:hAnsi="宋体" w:eastAsia="宋体" w:cs="宋体"/>
          <w:b w:val="0"/>
          <w:bCs w:val="0"/>
          <w:sz w:val="32"/>
          <w:szCs w:val="32"/>
          <w:lang w:eastAsia="zh-CN"/>
        </w:rPr>
      </w:pPr>
      <w:r>
        <w:rPr>
          <w:rFonts w:hint="eastAsia" w:ascii="宋体" w:hAnsi="宋体" w:cs="宋体"/>
          <w:b w:val="0"/>
          <w:bCs w:val="0"/>
          <w:sz w:val="32"/>
          <w:szCs w:val="32"/>
          <w:lang w:eastAsia="zh-CN"/>
        </w:rPr>
        <w:t>政府性基金预算财政拨款收入支出决算表</w:t>
      </w:r>
    </w:p>
    <w:p>
      <w:pPr>
        <w:numPr>
          <w:ilvl w:val="0"/>
          <w:numId w:val="2"/>
        </w:numPr>
        <w:ind w:left="420" w:leftChars="0"/>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政府性基金预算</w:t>
      </w:r>
      <w:r>
        <w:rPr>
          <w:rFonts w:hint="eastAsia" w:ascii="宋体" w:hAnsi="宋体" w:cs="宋体"/>
          <w:b w:val="0"/>
          <w:bCs w:val="0"/>
          <w:sz w:val="32"/>
          <w:szCs w:val="32"/>
          <w:lang w:eastAsia="zh-CN"/>
        </w:rPr>
        <w:t>支出情况</w:t>
      </w:r>
      <w:r>
        <w:rPr>
          <w:rFonts w:hint="eastAsia" w:ascii="宋体" w:hAnsi="宋体" w:eastAsia="宋体" w:cs="宋体"/>
          <w:b w:val="0"/>
          <w:bCs w:val="0"/>
          <w:sz w:val="32"/>
          <w:szCs w:val="32"/>
          <w:lang w:eastAsia="zh-CN"/>
        </w:rPr>
        <w:t>表</w:t>
      </w:r>
    </w:p>
    <w:p>
      <w:pPr>
        <w:numPr>
          <w:ilvl w:val="0"/>
          <w:numId w:val="2"/>
        </w:numPr>
        <w:ind w:left="420" w:leftChars="0"/>
        <w:rPr>
          <w:rFonts w:hint="eastAsia" w:ascii="宋体" w:hAnsi="宋体" w:eastAsia="宋体" w:cs="宋体"/>
          <w:b w:val="0"/>
          <w:bCs w:val="0"/>
          <w:sz w:val="32"/>
          <w:szCs w:val="32"/>
          <w:lang w:eastAsia="zh-CN"/>
        </w:rPr>
      </w:pPr>
      <w:r>
        <w:rPr>
          <w:rFonts w:hint="eastAsia" w:ascii="宋体" w:hAnsi="宋体" w:cs="宋体"/>
          <w:b w:val="0"/>
          <w:bCs w:val="0"/>
          <w:sz w:val="32"/>
          <w:szCs w:val="32"/>
          <w:lang w:eastAsia="zh-CN"/>
        </w:rPr>
        <w:t>国有资本经营预算拨款收支情况表</w:t>
      </w:r>
    </w:p>
    <w:p>
      <w:pPr>
        <w:numPr>
          <w:ilvl w:val="0"/>
          <w:numId w:val="3"/>
        </w:numPr>
        <w:ind w:left="0" w:leftChars="0" w:firstLine="217" w:firstLineChars="68"/>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部门决算文字说明</w:t>
      </w:r>
    </w:p>
    <w:p>
      <w:pPr>
        <w:numPr>
          <w:ilvl w:val="0"/>
          <w:numId w:val="4"/>
        </w:numPr>
        <w:ind w:left="0" w:leftChars="0" w:firstLine="420"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单位职责</w:t>
      </w:r>
    </w:p>
    <w:p>
      <w:pPr>
        <w:numPr>
          <w:ilvl w:val="0"/>
          <w:numId w:val="4"/>
        </w:numPr>
        <w:ind w:left="0" w:leftChars="0" w:firstLine="420"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机构设置</w:t>
      </w:r>
    </w:p>
    <w:p>
      <w:pPr>
        <w:numPr>
          <w:ilvl w:val="0"/>
          <w:numId w:val="4"/>
        </w:numPr>
        <w:ind w:left="0" w:leftChars="0" w:firstLine="420"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人员构成</w:t>
      </w:r>
    </w:p>
    <w:p>
      <w:pPr>
        <w:numPr>
          <w:ilvl w:val="0"/>
          <w:numId w:val="4"/>
        </w:numPr>
        <w:ind w:left="0" w:leftChars="0" w:firstLine="420"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部门决算收支</w:t>
      </w:r>
      <w:r>
        <w:rPr>
          <w:rFonts w:hint="eastAsia" w:ascii="宋体" w:hAnsi="宋体" w:eastAsia="宋体" w:cs="宋体"/>
          <w:b w:val="0"/>
          <w:bCs w:val="0"/>
          <w:sz w:val="32"/>
          <w:szCs w:val="32"/>
          <w:lang w:eastAsia="zh-CN"/>
        </w:rPr>
        <w:t>增减变化</w:t>
      </w:r>
      <w:r>
        <w:rPr>
          <w:rFonts w:hint="eastAsia" w:ascii="宋体" w:hAnsi="宋体" w:eastAsia="宋体" w:cs="宋体"/>
          <w:b w:val="0"/>
          <w:bCs w:val="0"/>
          <w:sz w:val="32"/>
          <w:szCs w:val="32"/>
        </w:rPr>
        <w:t>情况说明</w:t>
      </w:r>
    </w:p>
    <w:p>
      <w:pPr>
        <w:numPr>
          <w:ilvl w:val="0"/>
          <w:numId w:val="4"/>
        </w:numPr>
        <w:ind w:left="0" w:leftChars="0" w:firstLine="420" w:firstLineChars="0"/>
        <w:rPr>
          <w:rFonts w:hint="eastAsia" w:ascii="宋体" w:hAnsi="宋体" w:eastAsia="宋体" w:cs="宋体"/>
          <w:b w:val="0"/>
          <w:bCs w:val="0"/>
          <w:sz w:val="32"/>
          <w:szCs w:val="32"/>
        </w:rPr>
      </w:pPr>
      <w:r>
        <w:rPr>
          <w:rFonts w:hint="eastAsia" w:ascii="宋体" w:hAnsi="宋体" w:eastAsia="宋体" w:cs="宋体"/>
          <w:b w:val="0"/>
          <w:bCs w:val="0"/>
          <w:sz w:val="32"/>
          <w:szCs w:val="32"/>
          <w:lang w:eastAsia="zh-CN"/>
        </w:rPr>
        <w:t>机关</w:t>
      </w:r>
      <w:r>
        <w:rPr>
          <w:rFonts w:hint="eastAsia" w:ascii="宋体" w:hAnsi="宋体" w:eastAsia="宋体" w:cs="宋体"/>
          <w:b w:val="0"/>
          <w:bCs w:val="0"/>
          <w:sz w:val="32"/>
          <w:szCs w:val="32"/>
        </w:rPr>
        <w:t>运行经费</w:t>
      </w:r>
      <w:r>
        <w:rPr>
          <w:rFonts w:hint="eastAsia" w:ascii="宋体" w:hAnsi="宋体" w:eastAsia="宋体" w:cs="宋体"/>
          <w:b w:val="0"/>
          <w:bCs w:val="0"/>
          <w:sz w:val="32"/>
          <w:szCs w:val="32"/>
          <w:lang w:eastAsia="zh-CN"/>
        </w:rPr>
        <w:t>执行</w:t>
      </w:r>
      <w:r>
        <w:rPr>
          <w:rFonts w:hint="eastAsia" w:ascii="宋体" w:hAnsi="宋体" w:eastAsia="宋体" w:cs="宋体"/>
          <w:b w:val="0"/>
          <w:bCs w:val="0"/>
          <w:sz w:val="32"/>
          <w:szCs w:val="32"/>
        </w:rPr>
        <w:t>情况</w:t>
      </w:r>
      <w:r>
        <w:rPr>
          <w:rFonts w:hint="eastAsia" w:ascii="宋体" w:hAnsi="宋体" w:eastAsia="宋体" w:cs="宋体"/>
          <w:b w:val="0"/>
          <w:bCs w:val="0"/>
          <w:sz w:val="32"/>
          <w:szCs w:val="32"/>
          <w:lang w:eastAsia="zh-CN"/>
        </w:rPr>
        <w:t>说明</w:t>
      </w:r>
    </w:p>
    <w:p>
      <w:pPr>
        <w:numPr>
          <w:ilvl w:val="0"/>
          <w:numId w:val="4"/>
        </w:numPr>
        <w:ind w:left="0" w:leftChars="0" w:firstLine="420"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政府采购</w:t>
      </w:r>
      <w:r>
        <w:rPr>
          <w:rFonts w:hint="eastAsia" w:ascii="宋体" w:hAnsi="宋体" w:eastAsia="宋体" w:cs="宋体"/>
          <w:b w:val="0"/>
          <w:bCs w:val="0"/>
          <w:sz w:val="32"/>
          <w:szCs w:val="32"/>
          <w:lang w:eastAsia="zh-CN"/>
        </w:rPr>
        <w:t>执行</w:t>
      </w:r>
      <w:r>
        <w:rPr>
          <w:rFonts w:hint="eastAsia" w:ascii="宋体" w:hAnsi="宋体" w:eastAsia="宋体" w:cs="宋体"/>
          <w:b w:val="0"/>
          <w:bCs w:val="0"/>
          <w:sz w:val="32"/>
          <w:szCs w:val="32"/>
        </w:rPr>
        <w:t>情况</w:t>
      </w:r>
      <w:r>
        <w:rPr>
          <w:rFonts w:hint="eastAsia" w:ascii="宋体" w:hAnsi="宋体" w:eastAsia="宋体" w:cs="宋体"/>
          <w:b w:val="0"/>
          <w:bCs w:val="0"/>
          <w:sz w:val="32"/>
          <w:szCs w:val="32"/>
          <w:lang w:eastAsia="zh-CN"/>
        </w:rPr>
        <w:t>说明</w:t>
      </w:r>
    </w:p>
    <w:p>
      <w:pPr>
        <w:numPr>
          <w:ilvl w:val="0"/>
          <w:numId w:val="4"/>
        </w:numPr>
        <w:ind w:left="0" w:leftChars="0" w:firstLine="420"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国有资产占有使用情况</w:t>
      </w:r>
    </w:p>
    <w:p>
      <w:pPr>
        <w:numPr>
          <w:ilvl w:val="0"/>
          <w:numId w:val="4"/>
        </w:numPr>
        <w:ind w:left="0" w:leftChars="0" w:firstLine="420"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重点</w:t>
      </w:r>
      <w:r>
        <w:rPr>
          <w:rFonts w:hint="eastAsia" w:ascii="宋体" w:hAnsi="宋体" w:eastAsia="宋体" w:cs="宋体"/>
          <w:b w:val="0"/>
          <w:bCs w:val="0"/>
          <w:sz w:val="32"/>
          <w:szCs w:val="32"/>
          <w:lang w:eastAsia="zh-CN"/>
        </w:rPr>
        <w:t>绩效评价结果等预算绩效情况说明</w:t>
      </w:r>
    </w:p>
    <w:p>
      <w:pPr>
        <w:numPr>
          <w:ilvl w:val="0"/>
          <w:numId w:val="4"/>
        </w:numPr>
        <w:ind w:left="0" w:leftChars="0" w:firstLine="420"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“三公”经费情况</w:t>
      </w:r>
      <w:r>
        <w:rPr>
          <w:rFonts w:hint="eastAsia" w:ascii="宋体" w:hAnsi="宋体" w:eastAsia="宋体" w:cs="宋体"/>
          <w:b w:val="0"/>
          <w:bCs w:val="0"/>
          <w:sz w:val="32"/>
          <w:szCs w:val="32"/>
          <w:lang w:eastAsia="zh-CN"/>
        </w:rPr>
        <w:t>及增减变化原因</w:t>
      </w:r>
      <w:r>
        <w:rPr>
          <w:rFonts w:hint="eastAsia" w:ascii="宋体" w:hAnsi="宋体" w:eastAsia="宋体" w:cs="宋体"/>
          <w:b w:val="0"/>
          <w:bCs w:val="0"/>
          <w:sz w:val="32"/>
          <w:szCs w:val="32"/>
        </w:rPr>
        <w:t>说明</w:t>
      </w:r>
    </w:p>
    <w:p>
      <w:pPr>
        <w:numPr>
          <w:ilvl w:val="0"/>
          <w:numId w:val="4"/>
        </w:numPr>
        <w:ind w:left="0" w:leftChars="0" w:firstLine="420" w:firstLineChars="0"/>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rPr>
        <w:t>名词解释</w:t>
      </w:r>
    </w:p>
    <w:p>
      <w:pPr>
        <w:numPr>
          <w:ilvl w:val="0"/>
          <w:numId w:val="3"/>
        </w:numPr>
        <w:ind w:left="0" w:leftChars="0" w:firstLine="217" w:firstLineChars="68"/>
        <w:rPr>
          <w:rFonts w:hint="eastAsia" w:ascii="宋体" w:hAnsi="宋体" w:cs="宋体"/>
          <w:sz w:val="32"/>
          <w:szCs w:val="32"/>
        </w:rPr>
      </w:pPr>
      <w:r>
        <w:rPr>
          <w:rFonts w:hint="eastAsia" w:ascii="宋体" w:hAnsi="宋体" w:eastAsia="宋体" w:cs="宋体"/>
          <w:b w:val="0"/>
          <w:bCs w:val="0"/>
          <w:sz w:val="32"/>
          <w:szCs w:val="32"/>
          <w:lang w:eastAsia="zh-CN"/>
        </w:rPr>
        <w:t>国有资本经营</w:t>
      </w:r>
      <w:r>
        <w:rPr>
          <w:rFonts w:hint="eastAsia" w:ascii="宋体" w:hAnsi="宋体" w:cs="宋体"/>
          <w:b w:val="0"/>
          <w:bCs w:val="0"/>
          <w:sz w:val="32"/>
          <w:szCs w:val="32"/>
          <w:lang w:eastAsia="zh-CN"/>
        </w:rPr>
        <w:t>预算拨款收支情况</w:t>
      </w:r>
      <w:r>
        <w:rPr>
          <w:rFonts w:hint="eastAsia" w:ascii="宋体" w:hAnsi="宋体" w:eastAsia="宋体" w:cs="宋体"/>
          <w:b w:val="0"/>
          <w:bCs w:val="0"/>
          <w:sz w:val="32"/>
          <w:szCs w:val="32"/>
          <w:lang w:eastAsia="zh-CN"/>
        </w:rPr>
        <w:t>无数据说明</w:t>
      </w:r>
    </w:p>
    <w:p>
      <w:pPr>
        <w:numPr>
          <w:ilvl w:val="0"/>
          <w:numId w:val="3"/>
        </w:numPr>
        <w:ind w:left="0" w:leftChars="0" w:firstLine="217" w:firstLineChars="68"/>
        <w:rPr>
          <w:rFonts w:hint="eastAsia" w:ascii="宋体" w:hAnsi="宋体" w:cs="宋体"/>
          <w:sz w:val="32"/>
          <w:szCs w:val="32"/>
        </w:rPr>
      </w:pPr>
      <w:r>
        <w:rPr>
          <w:rFonts w:hint="eastAsia" w:ascii="宋体" w:hAnsi="宋体" w:cs="宋体"/>
          <w:sz w:val="32"/>
          <w:szCs w:val="32"/>
        </w:rPr>
        <w:t>政府性基金决算数据说明</w:t>
      </w:r>
    </w:p>
    <w:p>
      <w:pPr>
        <w:spacing w:line="600" w:lineRule="exact"/>
        <w:jc w:val="center"/>
        <w:rPr>
          <w:rFonts w:hint="eastAsia" w:ascii="仿宋_GB2312" w:eastAsia="仿宋_GB2312"/>
          <w:b/>
          <w:sz w:val="36"/>
          <w:szCs w:val="36"/>
        </w:rPr>
      </w:pPr>
      <w:r>
        <w:rPr>
          <w:rFonts w:hint="eastAsia" w:ascii="仿宋_GB2312" w:eastAsia="仿宋_GB2312"/>
          <w:b/>
          <w:sz w:val="36"/>
          <w:szCs w:val="36"/>
        </w:rPr>
        <w:t>鹤岗市兴安区人民政府办公室</w:t>
      </w:r>
    </w:p>
    <w:p>
      <w:pPr>
        <w:spacing w:line="600" w:lineRule="exact"/>
        <w:jc w:val="center"/>
        <w:rPr>
          <w:rFonts w:ascii="仿宋_GB2312" w:eastAsia="仿宋_GB2312"/>
          <w:sz w:val="36"/>
          <w:szCs w:val="36"/>
        </w:rPr>
      </w:pPr>
    </w:p>
    <w:p>
      <w:pPr>
        <w:numPr>
          <w:ilvl w:val="0"/>
          <w:numId w:val="5"/>
        </w:num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单位职责</w:t>
      </w:r>
    </w:p>
    <w:p>
      <w:pPr>
        <w:ind w:firstLine="645"/>
        <w:rPr>
          <w:rFonts w:hint="eastAsia" w:ascii="仿宋_GB2312" w:eastAsia="仿宋_GB2312"/>
          <w:sz w:val="32"/>
          <w:szCs w:val="32"/>
        </w:rPr>
      </w:pPr>
      <w:r>
        <w:rPr>
          <w:rFonts w:hint="eastAsia" w:ascii="仿宋_GB2312" w:eastAsia="仿宋_GB2312"/>
          <w:sz w:val="32"/>
          <w:szCs w:val="32"/>
        </w:rPr>
        <w:t>（一）全面正确履行经济调节、市场监管、社会管理和公共服务职能，形成权界清晰、分工合理、权责一致、运转高效、法制保障的机构职能体系，创造良好发展环境，提供基本均等公共服务，维护社会公平正义。</w:t>
      </w:r>
    </w:p>
    <w:p>
      <w:pPr>
        <w:ind w:firstLine="645"/>
        <w:rPr>
          <w:rFonts w:hint="eastAsia" w:ascii="仿宋_GB2312" w:eastAsia="仿宋_GB2312"/>
          <w:sz w:val="32"/>
          <w:szCs w:val="32"/>
        </w:rPr>
      </w:pPr>
      <w:r>
        <w:rPr>
          <w:rFonts w:hint="eastAsia" w:ascii="仿宋_GB2312" w:eastAsia="仿宋_GB2312"/>
          <w:sz w:val="32"/>
          <w:szCs w:val="32"/>
        </w:rPr>
        <w:t>（二）贯彻执行国家宏观调控政策，结合实际，综合运用经济、法律手段并辅以必要的行政手段引导和调控经济运行，促进国民经济持续健康发展。</w:t>
      </w:r>
    </w:p>
    <w:p>
      <w:pPr>
        <w:ind w:firstLine="640" w:firstLineChars="200"/>
        <w:rPr>
          <w:rFonts w:hint="eastAsia" w:ascii="仿宋_GB2312" w:eastAsia="仿宋_GB2312"/>
          <w:sz w:val="32"/>
          <w:szCs w:val="32"/>
        </w:rPr>
      </w:pPr>
      <w:r>
        <w:rPr>
          <w:rFonts w:hint="eastAsia" w:ascii="仿宋_GB2312" w:eastAsia="仿宋_GB2312"/>
          <w:sz w:val="32"/>
          <w:szCs w:val="32"/>
        </w:rPr>
        <w:t>（三）依法严格市场监管，推进公平准入，完善监管体系，规范市场执法，建立健全社会信用体系，改善经济发展环境，形成统一开放、公平诚信、竞争有序的现代市场体系。</w:t>
      </w:r>
    </w:p>
    <w:p>
      <w:pPr>
        <w:ind w:firstLine="640" w:firstLineChars="200"/>
        <w:rPr>
          <w:rFonts w:hint="eastAsia" w:ascii="仿宋_GB2312" w:eastAsia="仿宋_GB2312"/>
          <w:sz w:val="32"/>
          <w:szCs w:val="32"/>
        </w:rPr>
      </w:pPr>
      <w:r>
        <w:rPr>
          <w:rFonts w:hint="eastAsia" w:ascii="仿宋_GB2312" w:eastAsia="仿宋_GB2312"/>
          <w:sz w:val="32"/>
          <w:szCs w:val="32"/>
        </w:rPr>
        <w:t>（四）加强社会管理制度和能力建设，完善社会管理服务，形成源头治理、动态管理、应急处置相结合的社会管理机制，妥善处理社会矛盾，维护社会公平正义与和谐稳定。</w:t>
      </w:r>
    </w:p>
    <w:p>
      <w:pPr>
        <w:ind w:firstLine="640" w:firstLineChars="200"/>
        <w:rPr>
          <w:rFonts w:hint="eastAsia" w:ascii="仿宋_GB2312" w:eastAsia="仿宋_GB2312"/>
          <w:sz w:val="32"/>
          <w:szCs w:val="32"/>
        </w:rPr>
      </w:pPr>
      <w:r>
        <w:rPr>
          <w:rFonts w:hint="eastAsia" w:ascii="仿宋_GB2312" w:eastAsia="仿宋_GB2312"/>
          <w:sz w:val="32"/>
          <w:szCs w:val="32"/>
        </w:rPr>
        <w:t>（五）强化公共服务，完善公共政策，健全政府主导、社会参与、覆盖城乡、可持续的基本公共服务体系，增强基本公共服务能力，促进基本公共服务均等化。</w:t>
      </w:r>
    </w:p>
    <w:p>
      <w:pPr>
        <w:ind w:firstLine="640" w:firstLineChars="200"/>
        <w:rPr>
          <w:rFonts w:hint="eastAsia" w:ascii="仿宋_GB2312" w:eastAsia="仿宋_GB2312"/>
          <w:sz w:val="32"/>
          <w:szCs w:val="32"/>
        </w:rPr>
      </w:pPr>
      <w:r>
        <w:rPr>
          <w:rFonts w:hint="eastAsia" w:ascii="仿宋_GB2312" w:eastAsia="仿宋_GB2312"/>
          <w:sz w:val="32"/>
          <w:szCs w:val="32"/>
        </w:rPr>
        <w:t>（六）区人民政府各部门认真依照法律法规，在各自职能范围内行使职权，各司其职，各负其责做好工作；要规范办事程序，提高工作效率；要相互协调，密切配合，坚决贯彻落实区人民政府的各项工作安排和部署。区政府各部门必须坚决贯彻落实区政府的决定，及时跟踪和反馈执行情况。</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883" w:firstLineChars="200"/>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说明</w:t>
      </w:r>
    </w:p>
    <w:p>
      <w:pPr>
        <w:ind w:firstLine="640" w:firstLineChars="200"/>
        <w:rPr>
          <w:sz w:val="32"/>
          <w:szCs w:val="32"/>
        </w:rPr>
      </w:pPr>
      <w:r>
        <w:rPr>
          <w:rFonts w:hint="eastAsia" w:ascii="仿宋_GB2312" w:eastAsia="仿宋_GB2312"/>
          <w:sz w:val="32"/>
          <w:szCs w:val="32"/>
        </w:rPr>
        <w:t>截</w:t>
      </w:r>
      <w:r>
        <w:rPr>
          <w:rFonts w:hint="eastAsia" w:ascii="仿宋_GB2312" w:eastAsia="仿宋_GB2312"/>
          <w:sz w:val="32"/>
          <w:szCs w:val="32"/>
          <w:lang w:val="en-US" w:eastAsia="zh-CN"/>
        </w:rPr>
        <w:t>至</w:t>
      </w:r>
      <w:bookmarkStart w:id="0" w:name="_GoBack"/>
      <w:bookmarkEnd w:id="0"/>
      <w:r>
        <w:rPr>
          <w:rFonts w:hint="eastAsia" w:ascii="仿宋_GB2312" w:eastAsia="仿宋_GB2312"/>
          <w:sz w:val="32"/>
          <w:szCs w:val="32"/>
        </w:rPr>
        <w:t>目前，我</w:t>
      </w:r>
      <w:r>
        <w:rPr>
          <w:rFonts w:hint="eastAsia" w:ascii="仿宋_GB2312" w:eastAsia="仿宋_GB2312"/>
          <w:sz w:val="32"/>
          <w:szCs w:val="32"/>
          <w:lang w:eastAsia="zh-CN"/>
        </w:rPr>
        <w:t>单位</w:t>
      </w:r>
      <w:r>
        <w:rPr>
          <w:rFonts w:hint="eastAsia" w:ascii="仿宋_GB2312" w:eastAsia="仿宋_GB2312"/>
          <w:sz w:val="32"/>
          <w:szCs w:val="32"/>
        </w:rPr>
        <w:t>无</w:t>
      </w:r>
      <w:r>
        <w:rPr>
          <w:rFonts w:hint="eastAsia" w:ascii="仿宋_GB2312" w:eastAsia="仿宋_GB2312"/>
          <w:sz w:val="32"/>
          <w:szCs w:val="32"/>
          <w:lang w:eastAsia="zh-CN"/>
        </w:rPr>
        <w:t>国有资本经营决算，因此国有资本经营转移性收支决算录入表、国有资本经营预算拨款收支情况表无数据。</w:t>
      </w:r>
    </w:p>
    <w:p/>
    <w:p>
      <w:pPr>
        <w:ind w:firstLine="640" w:firstLineChars="200"/>
        <w:rPr>
          <w:rFonts w:hint="eastAsia" w:ascii="仿宋_GB2312" w:eastAsia="仿宋_GB2312"/>
          <w:sz w:val="32"/>
          <w:szCs w:val="32"/>
        </w:rPr>
      </w:pPr>
    </w:p>
    <w:p>
      <w:pPr>
        <w:ind w:firstLine="360" w:firstLineChars="100"/>
        <w:jc w:val="both"/>
        <w:rPr>
          <w:rFonts w:hint="eastAsia" w:ascii="仿宋_GB2312" w:eastAsia="仿宋_GB2312"/>
          <w:sz w:val="36"/>
          <w:szCs w:val="36"/>
          <w:lang w:eastAsia="zh-CN"/>
        </w:rPr>
      </w:pPr>
      <w:r>
        <w:rPr>
          <w:rFonts w:hint="eastAsia" w:ascii="仿宋_GB2312" w:eastAsia="仿宋_GB2312"/>
          <w:sz w:val="36"/>
          <w:szCs w:val="36"/>
          <w:lang w:eastAsia="zh-CN"/>
        </w:rPr>
        <w:t>鹤岗市兴安区人民政府政府性基金决算数据说明</w:t>
      </w:r>
    </w:p>
    <w:p>
      <w:pPr>
        <w:ind w:firstLine="640" w:firstLineChars="200"/>
        <w:rPr>
          <w:rFonts w:hint="eastAsia" w:ascii="仿宋_GB2312" w:eastAsia="仿宋_GB2312"/>
          <w:sz w:val="32"/>
          <w:szCs w:val="32"/>
          <w:lang w:eastAsia="zh-CN"/>
        </w:rPr>
      </w:pP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2020年，</w:t>
      </w:r>
      <w:r>
        <w:rPr>
          <w:rFonts w:hint="eastAsia" w:ascii="仿宋_GB2312" w:eastAsia="仿宋_GB2312"/>
          <w:sz w:val="32"/>
          <w:szCs w:val="32"/>
        </w:rPr>
        <w:t>我区</w:t>
      </w:r>
      <w:r>
        <w:rPr>
          <w:rFonts w:hint="eastAsia" w:ascii="仿宋_GB2312" w:eastAsia="仿宋_GB2312"/>
          <w:sz w:val="32"/>
          <w:szCs w:val="32"/>
          <w:lang w:eastAsia="zh-CN"/>
        </w:rPr>
        <w:t>政府性基金收入8134554.99元，其中：基本支出收入</w:t>
      </w:r>
      <w:r>
        <w:rPr>
          <w:rFonts w:hint="eastAsia" w:ascii="仿宋_GB2312" w:eastAsia="仿宋_GB2312"/>
          <w:sz w:val="32"/>
          <w:szCs w:val="32"/>
          <w:lang w:val="en-US" w:eastAsia="zh-CN"/>
        </w:rPr>
        <w:t>0元，</w:t>
      </w:r>
      <w:r>
        <w:rPr>
          <w:rFonts w:hint="eastAsia" w:ascii="仿宋_GB2312" w:eastAsia="仿宋_GB2312"/>
          <w:sz w:val="32"/>
          <w:szCs w:val="32"/>
          <w:lang w:eastAsia="zh-CN"/>
        </w:rPr>
        <w:t>项目支出收入8134554.99元，政府性基金支出8134554.99元，其中：基本支出</w:t>
      </w:r>
      <w:r>
        <w:rPr>
          <w:rFonts w:hint="eastAsia" w:ascii="仿宋_GB2312" w:eastAsia="仿宋_GB2312"/>
          <w:sz w:val="32"/>
          <w:szCs w:val="32"/>
          <w:lang w:val="en-US" w:eastAsia="zh-CN"/>
        </w:rPr>
        <w:t>0元，</w:t>
      </w:r>
      <w:r>
        <w:rPr>
          <w:rFonts w:hint="eastAsia" w:ascii="仿宋_GB2312" w:eastAsia="仿宋_GB2312"/>
          <w:sz w:val="32"/>
          <w:szCs w:val="32"/>
          <w:lang w:eastAsia="zh-CN"/>
        </w:rPr>
        <w:t>项目支出8134554.99元。</w:t>
      </w:r>
    </w:p>
    <w:p>
      <w:pPr>
        <w:rPr>
          <w:rFonts w:hint="eastAsia" w:ascii="仿宋_GB2312" w:eastAsia="仿宋_GB2312"/>
          <w:sz w:val="32"/>
          <w:szCs w:val="32"/>
          <w:lang w:val="en-US" w:eastAsia="zh-CN"/>
        </w:rPr>
      </w:pPr>
      <w:r>
        <w:rPr>
          <w:rFonts w:hint="eastAsia"/>
          <w:lang w:val="en-US" w:eastAsia="zh-CN"/>
        </w:rPr>
        <w:t xml:space="preserve">      </w:t>
      </w:r>
      <w:r>
        <w:rPr>
          <w:rFonts w:hint="eastAsia" w:ascii="仿宋_GB2312" w:eastAsia="仿宋_GB2312"/>
          <w:sz w:val="32"/>
          <w:szCs w:val="32"/>
          <w:lang w:eastAsia="zh-CN"/>
        </w:rPr>
        <w:t>项目支出中工资福利支出</w:t>
      </w:r>
      <w:r>
        <w:rPr>
          <w:rFonts w:hint="eastAsia" w:ascii="仿宋_GB2312" w:eastAsia="仿宋_GB2312"/>
          <w:sz w:val="32"/>
          <w:szCs w:val="32"/>
          <w:lang w:val="en-US" w:eastAsia="zh-CN"/>
        </w:rPr>
        <w:t>0元，商品和服务支出4974934.99元，对个人和家庭的补助821010元，资本性支出2338610元。</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rPr>
          <w:rFonts w:hint="eastAsia" w:ascii="仿宋_GB2312" w:eastAsia="仿宋_GB2312"/>
          <w:sz w:val="32"/>
          <w:szCs w:val="32"/>
        </w:rPr>
      </w:pPr>
    </w:p>
    <w:p>
      <w:pPr>
        <w:numPr>
          <w:ilvl w:val="0"/>
          <w:numId w:val="5"/>
        </w:num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机构设置</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单位党政办、人社局、财政局等各局办，共计</w:t>
      </w:r>
      <w:r>
        <w:rPr>
          <w:rFonts w:hint="eastAsia" w:ascii="仿宋" w:hAnsi="仿宋" w:eastAsia="仿宋"/>
          <w:sz w:val="32"/>
          <w:szCs w:val="32"/>
          <w:lang w:val="en-US" w:eastAsia="zh-CN"/>
        </w:rPr>
        <w:t>4</w:t>
      </w:r>
      <w:r>
        <w:rPr>
          <w:rFonts w:hint="eastAsia" w:ascii="仿宋" w:hAnsi="仿宋" w:eastAsia="仿宋"/>
          <w:sz w:val="32"/>
          <w:szCs w:val="32"/>
        </w:rPr>
        <w:t>0多个科室。</w:t>
      </w: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numPr>
          <w:ilvl w:val="0"/>
          <w:numId w:val="0"/>
        </w:numPr>
        <w:rPr>
          <w:rFonts w:hint="eastAsia" w:ascii="仿宋_GB2312" w:hAnsi="仿宋_GB2312" w:eastAsia="仿宋_GB2312" w:cs="仿宋_GB2312"/>
          <w:b/>
          <w:sz w:val="32"/>
          <w:szCs w:val="32"/>
        </w:rPr>
      </w:pPr>
    </w:p>
    <w:p>
      <w:pPr>
        <w:numPr>
          <w:ilvl w:val="0"/>
          <w:numId w:val="0"/>
        </w:num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人员构成</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单位年末</w:t>
      </w:r>
      <w:r>
        <w:rPr>
          <w:rFonts w:hint="eastAsia" w:ascii="仿宋" w:hAnsi="仿宋" w:eastAsia="仿宋" w:cs="仿宋"/>
          <w:i w:val="0"/>
          <w:color w:val="000000"/>
          <w:kern w:val="0"/>
          <w:sz w:val="32"/>
          <w:szCs w:val="32"/>
          <w:u w:val="none"/>
          <w:lang w:val="en-US" w:eastAsia="zh-CN" w:bidi="ar"/>
        </w:rPr>
        <w:t>独立编制机构数1个</w:t>
      </w:r>
      <w:r>
        <w:rPr>
          <w:rFonts w:hint="eastAsia" w:ascii="仿宋" w:hAnsi="仿宋" w:eastAsia="仿宋" w:cs="仿宋"/>
          <w:sz w:val="32"/>
          <w:szCs w:val="32"/>
        </w:rPr>
        <w:t>，</w:t>
      </w:r>
      <w:r>
        <w:rPr>
          <w:rFonts w:hint="eastAsia" w:ascii="仿宋" w:hAnsi="仿宋" w:eastAsia="仿宋" w:cs="仿宋"/>
          <w:i w:val="0"/>
          <w:color w:val="000000"/>
          <w:kern w:val="0"/>
          <w:sz w:val="32"/>
          <w:szCs w:val="32"/>
          <w:u w:val="none"/>
          <w:lang w:val="en-US" w:eastAsia="zh-CN" w:bidi="ar"/>
        </w:rPr>
        <w:t>独立核算机构数1个。年末</w:t>
      </w:r>
      <w:r>
        <w:rPr>
          <w:rFonts w:hint="eastAsia" w:ascii="仿宋" w:hAnsi="仿宋" w:eastAsia="仿宋" w:cs="仿宋"/>
          <w:sz w:val="32"/>
          <w:szCs w:val="32"/>
        </w:rPr>
        <w:t>实有人员</w:t>
      </w:r>
      <w:r>
        <w:rPr>
          <w:rFonts w:hint="eastAsia" w:ascii="仿宋" w:hAnsi="仿宋" w:eastAsia="仿宋" w:cs="仿宋"/>
          <w:sz w:val="32"/>
          <w:szCs w:val="32"/>
          <w:lang w:val="en-US" w:eastAsia="zh-CN"/>
        </w:rPr>
        <w:t>159</w:t>
      </w:r>
      <w:r>
        <w:rPr>
          <w:rFonts w:hint="eastAsia" w:ascii="仿宋" w:hAnsi="仿宋" w:eastAsia="仿宋" w:cs="仿宋"/>
          <w:sz w:val="32"/>
          <w:szCs w:val="32"/>
        </w:rPr>
        <w:t>人，其中在职人员</w:t>
      </w:r>
      <w:r>
        <w:rPr>
          <w:rFonts w:hint="eastAsia" w:ascii="仿宋" w:hAnsi="仿宋" w:eastAsia="仿宋" w:cs="仿宋"/>
          <w:sz w:val="32"/>
          <w:szCs w:val="32"/>
          <w:lang w:val="en-US" w:eastAsia="zh-CN"/>
        </w:rPr>
        <w:t>165</w:t>
      </w:r>
      <w:r>
        <w:rPr>
          <w:rFonts w:hint="eastAsia" w:ascii="仿宋" w:hAnsi="仿宋" w:eastAsia="仿宋" w:cs="仿宋"/>
          <w:sz w:val="32"/>
          <w:szCs w:val="32"/>
        </w:rPr>
        <w:t>人，离休人员2人，退休人员</w:t>
      </w:r>
      <w:r>
        <w:rPr>
          <w:rFonts w:hint="eastAsia" w:ascii="仿宋" w:hAnsi="仿宋" w:eastAsia="仿宋" w:cs="仿宋"/>
          <w:sz w:val="32"/>
          <w:szCs w:val="32"/>
          <w:lang w:val="en-US" w:eastAsia="zh-CN"/>
        </w:rPr>
        <w:t>92</w:t>
      </w:r>
      <w:r>
        <w:rPr>
          <w:rFonts w:hint="eastAsia" w:ascii="仿宋" w:hAnsi="仿宋" w:eastAsia="仿宋" w:cs="仿宋"/>
          <w:sz w:val="32"/>
          <w:szCs w:val="32"/>
        </w:rPr>
        <w:t>人</w:t>
      </w:r>
      <w:r>
        <w:rPr>
          <w:rFonts w:hint="eastAsia" w:ascii="仿宋" w:hAnsi="仿宋" w:eastAsia="仿宋" w:cs="仿宋"/>
          <w:sz w:val="32"/>
          <w:szCs w:val="32"/>
          <w:lang w:eastAsia="zh-CN"/>
        </w:rPr>
        <w:t>，其他人员数</w:t>
      </w:r>
      <w:r>
        <w:rPr>
          <w:rFonts w:hint="eastAsia" w:ascii="仿宋" w:hAnsi="仿宋" w:eastAsia="仿宋" w:cs="仿宋"/>
          <w:sz w:val="32"/>
          <w:szCs w:val="32"/>
          <w:lang w:val="en-US" w:eastAsia="zh-CN"/>
        </w:rPr>
        <w:t>85人。</w:t>
      </w:r>
    </w:p>
    <w:p>
      <w:pPr>
        <w:spacing w:line="360" w:lineRule="auto"/>
        <w:ind w:firstLine="640" w:firstLineChars="200"/>
        <w:rPr>
          <w:rFonts w:hint="eastAsia" w:ascii="仿宋" w:hAnsi="仿宋" w:eastAsia="仿宋" w:cs="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numPr>
          <w:ilvl w:val="0"/>
          <w:numId w:val="0"/>
        </w:numPr>
        <w:rPr>
          <w:rFonts w:hint="eastAsia" w:ascii="仿宋_GB2312" w:hAnsi="仿宋_GB2312" w:eastAsia="仿宋_GB2312" w:cs="仿宋_GB2312"/>
          <w:b/>
          <w:sz w:val="32"/>
          <w:szCs w:val="32"/>
        </w:rPr>
      </w:pPr>
    </w:p>
    <w:p>
      <w:pPr>
        <w:numPr>
          <w:ilvl w:val="0"/>
          <w:numId w:val="0"/>
        </w:num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部门决算收支增减变化情况说明</w:t>
      </w:r>
    </w:p>
    <w:p>
      <w:pPr>
        <w:ind w:firstLine="640" w:firstLineChars="200"/>
        <w:rPr>
          <w:rFonts w:hint="eastAsia" w:eastAsia="仿宋_GB2312" w:cs="仿宋_GB2312"/>
          <w:sz w:val="32"/>
          <w:szCs w:val="32"/>
        </w:rPr>
      </w:pPr>
    </w:p>
    <w:tbl>
      <w:tblPr>
        <w:tblStyle w:val="2"/>
        <w:tblW w:w="0" w:type="auto"/>
        <w:tblInd w:w="0" w:type="dxa"/>
        <w:tblLayout w:type="fixed"/>
        <w:tblCellMar>
          <w:top w:w="0" w:type="dxa"/>
          <w:left w:w="0" w:type="dxa"/>
          <w:bottom w:w="0" w:type="dxa"/>
          <w:right w:w="0" w:type="dxa"/>
        </w:tblCellMar>
      </w:tblPr>
      <w:tblGrid>
        <w:gridCol w:w="2273"/>
        <w:gridCol w:w="333"/>
        <w:gridCol w:w="1544"/>
        <w:gridCol w:w="1264"/>
        <w:gridCol w:w="1387"/>
        <w:gridCol w:w="860"/>
        <w:gridCol w:w="1639"/>
      </w:tblGrid>
      <w:tr>
        <w:tblPrEx>
          <w:tblCellMar>
            <w:top w:w="0" w:type="dxa"/>
            <w:left w:w="0" w:type="dxa"/>
            <w:bottom w:w="0" w:type="dxa"/>
            <w:right w:w="0" w:type="dxa"/>
          </w:tblCellMar>
        </w:tblPrEx>
        <w:trPr>
          <w:trHeight w:val="690" w:hRule="atLeast"/>
        </w:trPr>
        <w:tc>
          <w:tcPr>
            <w:tcW w:w="9300" w:type="dxa"/>
            <w:gridSpan w:val="7"/>
            <w:tcBorders>
              <w:top w:val="nil"/>
              <w:left w:val="nil"/>
              <w:bottom w:val="nil"/>
              <w:right w:val="nil"/>
            </w:tcBorders>
            <w:noWrap/>
            <w:tcMar>
              <w:top w:w="10" w:type="dxa"/>
              <w:left w:w="10" w:type="dxa"/>
              <w:right w:w="10"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主要指标变动情况表</w:t>
            </w:r>
          </w:p>
        </w:tc>
      </w:tr>
      <w:tr>
        <w:tblPrEx>
          <w:tblCellMar>
            <w:top w:w="0" w:type="dxa"/>
            <w:left w:w="0" w:type="dxa"/>
            <w:bottom w:w="0" w:type="dxa"/>
            <w:right w:w="0" w:type="dxa"/>
          </w:tblCellMar>
        </w:tblPrEx>
        <w:trPr>
          <w:trHeight w:val="350" w:hRule="atLeast"/>
        </w:trPr>
        <w:tc>
          <w:tcPr>
            <w:tcW w:w="4150" w:type="dxa"/>
            <w:gridSpan w:val="3"/>
            <w:tcBorders>
              <w:top w:val="nil"/>
              <w:left w:val="nil"/>
              <w:bottom w:val="nil"/>
              <w:right w:val="nil"/>
            </w:tcBorders>
            <w:noWrap/>
            <w:tcMar>
              <w:top w:w="10" w:type="dxa"/>
              <w:left w:w="10" w:type="dxa"/>
              <w:right w:w="10"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编制单位：鹤岗市兴安区人民政府</w:t>
            </w:r>
          </w:p>
        </w:tc>
        <w:tc>
          <w:tcPr>
            <w:tcW w:w="3511" w:type="dxa"/>
            <w:gridSpan w:val="3"/>
            <w:tcBorders>
              <w:top w:val="nil"/>
              <w:left w:val="nil"/>
              <w:bottom w:val="nil"/>
              <w:right w:val="nil"/>
            </w:tcBorders>
            <w:noWrap/>
            <w:tcMar>
              <w:top w:w="10" w:type="dxa"/>
              <w:left w:w="10" w:type="dxa"/>
              <w:right w:w="10"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2020年度</w:t>
            </w:r>
          </w:p>
        </w:tc>
        <w:tc>
          <w:tcPr>
            <w:tcW w:w="1639" w:type="dxa"/>
            <w:tcBorders>
              <w:top w:val="nil"/>
              <w:left w:val="nil"/>
              <w:bottom w:val="nil"/>
              <w:right w:val="nil"/>
            </w:tcBorders>
            <w:noWrap/>
            <w:tcMar>
              <w:top w:w="10" w:type="dxa"/>
              <w:left w:w="10" w:type="dxa"/>
              <w:right w:w="10"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57" w:hRule="atLeast"/>
        </w:trPr>
        <w:tc>
          <w:tcPr>
            <w:tcW w:w="2273" w:type="dxa"/>
            <w:vMerge w:val="restart"/>
            <w:tcBorders>
              <w:top w:val="single" w:color="000000" w:sz="4" w:space="0"/>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    标</w:t>
            </w:r>
          </w:p>
        </w:tc>
        <w:tc>
          <w:tcPr>
            <w:tcW w:w="333" w:type="dxa"/>
            <w:vMerge w:val="restart"/>
            <w:tcBorders>
              <w:top w:val="single" w:color="000000" w:sz="4" w:space="0"/>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544" w:type="dxa"/>
            <w:vMerge w:val="restart"/>
            <w:tcBorders>
              <w:top w:val="single" w:color="000000" w:sz="4" w:space="0"/>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本年度</w:t>
            </w:r>
          </w:p>
        </w:tc>
        <w:tc>
          <w:tcPr>
            <w:tcW w:w="1264" w:type="dxa"/>
            <w:vMerge w:val="restart"/>
            <w:tcBorders>
              <w:top w:val="single" w:color="000000" w:sz="4" w:space="0"/>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上年度</w:t>
            </w:r>
          </w:p>
        </w:tc>
        <w:tc>
          <w:tcPr>
            <w:tcW w:w="1387" w:type="dxa"/>
            <w:vMerge w:val="restart"/>
            <w:tcBorders>
              <w:top w:val="single" w:color="000000" w:sz="4" w:space="0"/>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比上年增减</w:t>
            </w:r>
          </w:p>
        </w:tc>
        <w:tc>
          <w:tcPr>
            <w:tcW w:w="860" w:type="dxa"/>
            <w:vMerge w:val="restart"/>
            <w:tcBorders>
              <w:top w:val="single" w:color="000000" w:sz="4" w:space="0"/>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增减％</w:t>
            </w:r>
          </w:p>
        </w:tc>
        <w:tc>
          <w:tcPr>
            <w:tcW w:w="1639" w:type="dxa"/>
            <w:vMerge w:val="restart"/>
            <w:tcBorders>
              <w:top w:val="single" w:color="000000" w:sz="4" w:space="0"/>
              <w:left w:val="nil"/>
              <w:bottom w:val="single" w:color="000000" w:sz="4" w:space="0"/>
              <w:right w:val="single" w:color="000000" w:sz="8"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原因</w:t>
            </w:r>
          </w:p>
        </w:tc>
      </w:tr>
      <w:tr>
        <w:tblPrEx>
          <w:tblCellMar>
            <w:top w:w="0" w:type="dxa"/>
            <w:left w:w="0" w:type="dxa"/>
            <w:bottom w:w="0" w:type="dxa"/>
            <w:right w:w="0" w:type="dxa"/>
          </w:tblCellMar>
        </w:tblPrEx>
        <w:trPr>
          <w:trHeight w:val="357" w:hRule="atLeast"/>
        </w:trPr>
        <w:tc>
          <w:tcPr>
            <w:tcW w:w="2273" w:type="dxa"/>
            <w:vMerge w:val="continue"/>
            <w:tcBorders>
              <w:top w:val="single" w:color="000000" w:sz="4" w:space="0"/>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333" w:type="dxa"/>
            <w:vMerge w:val="continue"/>
            <w:tcBorders>
              <w:top w:val="single" w:color="000000" w:sz="4" w:space="0"/>
              <w:left w:val="nil"/>
              <w:bottom w:val="single" w:color="000000" w:sz="4" w:space="0"/>
              <w:right w:val="single" w:color="000000" w:sz="4" w:space="0"/>
            </w:tcBorders>
            <w:shd w:val="clear" w:color="FFFFFF" w:fill="C0C0C0"/>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544" w:type="dxa"/>
            <w:vMerge w:val="continue"/>
            <w:tcBorders>
              <w:top w:val="single" w:color="000000" w:sz="4" w:space="0"/>
              <w:left w:val="nil"/>
              <w:bottom w:val="single" w:color="000000" w:sz="4" w:space="0"/>
              <w:right w:val="single" w:color="000000" w:sz="4" w:space="0"/>
            </w:tcBorders>
            <w:shd w:val="clear" w:color="FFFFFF" w:fill="C0C0C0"/>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264" w:type="dxa"/>
            <w:vMerge w:val="continue"/>
            <w:tcBorders>
              <w:top w:val="single" w:color="000000" w:sz="4" w:space="0"/>
              <w:left w:val="nil"/>
              <w:bottom w:val="single" w:color="000000" w:sz="4" w:space="0"/>
              <w:right w:val="single" w:color="000000" w:sz="4" w:space="0"/>
            </w:tcBorders>
            <w:shd w:val="clear" w:color="FFFFFF" w:fill="C0C0C0"/>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387" w:type="dxa"/>
            <w:vMerge w:val="continue"/>
            <w:tcBorders>
              <w:top w:val="single" w:color="000000" w:sz="4" w:space="0"/>
              <w:left w:val="nil"/>
              <w:bottom w:val="single" w:color="000000" w:sz="4" w:space="0"/>
              <w:right w:val="single" w:color="000000" w:sz="4" w:space="0"/>
            </w:tcBorders>
            <w:shd w:val="clear" w:color="FFFFFF" w:fill="C0C0C0"/>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60" w:type="dxa"/>
            <w:vMerge w:val="continue"/>
            <w:tcBorders>
              <w:top w:val="single" w:color="000000" w:sz="4" w:space="0"/>
              <w:left w:val="nil"/>
              <w:bottom w:val="single" w:color="000000" w:sz="4" w:space="0"/>
              <w:right w:val="single" w:color="000000" w:sz="4" w:space="0"/>
            </w:tcBorders>
            <w:shd w:val="clear" w:color="FFFFFF" w:fill="C0C0C0"/>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639" w:type="dxa"/>
            <w:vMerge w:val="continue"/>
            <w:tcBorders>
              <w:top w:val="single" w:color="000000" w:sz="4" w:space="0"/>
              <w:left w:val="nil"/>
              <w:bottom w:val="single" w:color="000000" w:sz="4" w:space="0"/>
              <w:right w:val="single" w:color="000000" w:sz="8" w:space="0"/>
            </w:tcBorders>
            <w:shd w:val="clear" w:color="FFFFFF" w:fill="C0C0C0"/>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1" w:hRule="atLeast"/>
        </w:trPr>
        <w:tc>
          <w:tcPr>
            <w:tcW w:w="2273" w:type="dxa"/>
            <w:tcBorders>
              <w:top w:val="nil"/>
              <w:left w:val="single" w:color="000000" w:sz="4" w:space="0"/>
              <w:bottom w:val="single" w:color="000000" w:sz="4" w:space="0"/>
              <w:right w:val="single" w:color="000000" w:sz="4" w:space="0"/>
            </w:tcBorders>
            <w:shd w:val="clear" w:color="FFFFFF" w:fill="C0C0C0"/>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栏    次 </w:t>
            </w:r>
          </w:p>
        </w:tc>
        <w:tc>
          <w:tcPr>
            <w:tcW w:w="333" w:type="dxa"/>
            <w:vMerge w:val="continue"/>
            <w:tcBorders>
              <w:top w:val="single" w:color="000000" w:sz="4" w:space="0"/>
              <w:left w:val="nil"/>
              <w:bottom w:val="single" w:color="000000" w:sz="4" w:space="0"/>
              <w:right w:val="single" w:color="000000" w:sz="4" w:space="0"/>
            </w:tcBorders>
            <w:shd w:val="clear" w:color="FFFFFF" w:fill="C0C0C0"/>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544"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4"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87"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60"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39" w:type="dxa"/>
            <w:tcBorders>
              <w:top w:val="nil"/>
              <w:left w:val="nil"/>
              <w:bottom w:val="single" w:color="000000" w:sz="4" w:space="0"/>
              <w:right w:val="single" w:color="000000" w:sz="8"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一、年度收支情况（单位：元）</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104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1.本年收入</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100,786,326.62</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35,958,637.47</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64,827,689.15</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180.28</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我区申报上级专项性资金引起变动</w:t>
            </w:r>
          </w:p>
        </w:tc>
      </w:tr>
      <w:tr>
        <w:tblPrEx>
          <w:tblCellMar>
            <w:top w:w="0" w:type="dxa"/>
            <w:left w:w="0" w:type="dxa"/>
            <w:bottom w:w="0" w:type="dxa"/>
            <w:right w:w="0" w:type="dxa"/>
          </w:tblCellMar>
        </w:tblPrEx>
        <w:trPr>
          <w:trHeight w:val="104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其中：一般公共预算财政拨款</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91,354,834.63</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35,958,637.47</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55,396,197.16</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154.06</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我区申报上级专项性资金引起变动</w:t>
            </w: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8,134,554.99</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8,134,554.99</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*事业收入</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事业单位经营收入</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*其他收入</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1,296,937.00</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1,296,937.00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4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2.本年支出</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100,806,665.05</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35,916,654.00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64,890,011.05</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180.67</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本年受疫情影响，支出增加引起变动</w:t>
            </w:r>
          </w:p>
        </w:tc>
      </w:tr>
      <w:tr>
        <w:tblPrEx>
          <w:tblCellMar>
            <w:top w:w="0" w:type="dxa"/>
            <w:left w:w="0" w:type="dxa"/>
            <w:bottom w:w="0" w:type="dxa"/>
            <w:right w:w="0" w:type="dxa"/>
          </w:tblCellMar>
        </w:tblPrEx>
        <w:trPr>
          <w:trHeight w:val="104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其中：基本支出</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41,629,512.08</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25,193,527.48</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16,435,984.60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65.24</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本年受疫情影响，基本支出增加引起变动</w:t>
            </w: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（1）人员经费</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30,509,047.89</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18,154,185.09</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12,354,862.80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68.06</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人员支出增加引起变动</w:t>
            </w:r>
          </w:p>
        </w:tc>
      </w:tr>
      <w:tr>
        <w:tblPrEx>
          <w:tblCellMar>
            <w:top w:w="0" w:type="dxa"/>
            <w:left w:w="0" w:type="dxa"/>
            <w:bottom w:w="0" w:type="dxa"/>
            <w:right w:w="0" w:type="dxa"/>
          </w:tblCellMar>
        </w:tblPrEx>
        <w:trPr>
          <w:trHeight w:val="104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（2）公用经费</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11,120,464.19</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7,039,342.39</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4,081,121.80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57.98</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本年受疫情影响，公用支出增加引起变动</w:t>
            </w:r>
          </w:p>
        </w:tc>
      </w:tr>
      <w:tr>
        <w:tblPrEx>
          <w:tblCellMar>
            <w:top w:w="0" w:type="dxa"/>
            <w:left w:w="0" w:type="dxa"/>
            <w:bottom w:w="0" w:type="dxa"/>
            <w:right w:w="0" w:type="dxa"/>
          </w:tblCellMar>
        </w:tblPrEx>
        <w:trPr>
          <w:trHeight w:val="104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项目支出</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59,177,152.97</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10,723,126.52</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48,454,026.45</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451.86</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我区申报上级专项性资金引起变动</w:t>
            </w: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其中：基本建设类项目</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事业单位经营支出</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38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3.年末结转和结余</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21,645.04</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41,983.47</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-20,338.43</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-48.44</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上年度转的职工医疗保险缴费在本年度支出引起的变动</w:t>
            </w:r>
          </w:p>
        </w:tc>
      </w:tr>
      <w:tr>
        <w:tblPrEx>
          <w:tblCellMar>
            <w:top w:w="0" w:type="dxa"/>
            <w:left w:w="0" w:type="dxa"/>
            <w:bottom w:w="0" w:type="dxa"/>
            <w:right w:w="0" w:type="dxa"/>
          </w:tblCellMar>
        </w:tblPrEx>
        <w:trPr>
          <w:trHeight w:val="138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其中：一般公共预算财政拨款</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695.04</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41,983.47</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-41,288.43</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-98.34</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上年度转的职工医疗保险缴费在本年度支出引起的变动</w:t>
            </w: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二、年末资产负债信息（单位：元）</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104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1.货币资金</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59,117.64</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109,324.07</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-50,206.43</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-45.92</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主要原因为拨付其他收入款引起的变动</w:t>
            </w: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2.财政应返还额度</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3.房屋</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6,272,645.53</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6,272,645.53</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4.车辆</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1,948,550.00</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1,948,550.00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5.在建工程</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11,601,778.32</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11,601,778.32</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6.借款</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7.应缴财政款</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8.应付职工薪酬</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三、年末机构人员情况（单位：个、人）</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1.独立编制机构数</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2.独立核算机构数</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3.年末实有人数</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我区实有人员增加引起变动</w:t>
            </w: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在职人员</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39.83</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我区在职人员增加引起变动</w:t>
            </w: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其中：行政人员</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33.70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我区行政人员增加引起变动</w:t>
            </w:r>
          </w:p>
        </w:tc>
      </w:tr>
      <w:tr>
        <w:tblPrEx>
          <w:tblCellMar>
            <w:top w:w="0" w:type="dxa"/>
            <w:left w:w="0" w:type="dxa"/>
            <w:bottom w:w="0" w:type="dxa"/>
            <w:right w:w="0" w:type="dxa"/>
          </w:tblCellMar>
        </w:tblPrEx>
        <w:trPr>
          <w:trHeight w:val="104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参照公务员法管理事业人员</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非参公事业人员</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今年补报漏添人数引起变动</w:t>
            </w:r>
          </w:p>
        </w:tc>
      </w:tr>
      <w:tr>
        <w:tblPrEx>
          <w:tblCellMar>
            <w:top w:w="0" w:type="dxa"/>
            <w:left w:w="0" w:type="dxa"/>
            <w:bottom w:w="0" w:type="dxa"/>
            <w:right w:w="0" w:type="dxa"/>
          </w:tblCellMar>
        </w:tblPrEx>
        <w:trPr>
          <w:trHeight w:val="36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离休人员</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退休人员</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27.78</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我区退休人员增加引起变动</w:t>
            </w: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4.年末其他人员数</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-10.53</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我区精减聘用人员引起变动</w:t>
            </w:r>
          </w:p>
        </w:tc>
      </w:tr>
      <w:tr>
        <w:tblPrEx>
          <w:tblCellMar>
            <w:top w:w="0" w:type="dxa"/>
            <w:left w:w="0" w:type="dxa"/>
            <w:bottom w:w="0" w:type="dxa"/>
            <w:right w:w="0" w:type="dxa"/>
          </w:tblCellMar>
        </w:tblPrEx>
        <w:trPr>
          <w:trHeight w:val="36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5.年末学生人数</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四、补充资料（单位：元）</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6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1.固定资产情况</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房屋面积（平方米）</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8,081.86</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8,081.86</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车辆数量（辆）</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4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2.“三公”经费支出</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330,155.34</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469,155.10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-138,999.76</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-29.63</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我单位车辆老化无法正常行驶引起</w:t>
            </w: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其中：因公出国（境）费</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4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公务用车购置及运行维护费</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330,155.34</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469,155.10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-138,999.76</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-29.63</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我单位车辆老化无法正常行驶引起</w:t>
            </w: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其中：公务用车购置费</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4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330,155.34</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469,155.10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-138,999.76</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-29.63</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我单位车辆老化无法正常行驶引起</w:t>
            </w: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4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3.培训费</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53,501.90</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114,136.59</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-60,634.69</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-53.12</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本年度因疫情影响，培训费减少。</w:t>
            </w:r>
          </w:p>
        </w:tc>
      </w:tr>
      <w:tr>
        <w:tblPrEx>
          <w:tblCellMar>
            <w:top w:w="0" w:type="dxa"/>
            <w:left w:w="0" w:type="dxa"/>
            <w:bottom w:w="0" w:type="dxa"/>
            <w:right w:w="0" w:type="dxa"/>
          </w:tblCellMar>
        </w:tblPrEx>
        <w:trPr>
          <w:trHeight w:val="104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4.会议费</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5,368.00</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58,120.00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-52,752.00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-90.76</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本年度因疫情影响，会议费减少。</w:t>
            </w:r>
          </w:p>
        </w:tc>
      </w:tr>
      <w:tr>
        <w:tblPrEx>
          <w:tblCellMar>
            <w:top w:w="0" w:type="dxa"/>
            <w:left w:w="0" w:type="dxa"/>
            <w:bottom w:w="0" w:type="dxa"/>
            <w:right w:w="0" w:type="dxa"/>
          </w:tblCellMar>
        </w:tblPrEx>
        <w:trPr>
          <w:trHeight w:val="138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5.机关运行经费</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11,120,464.19</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7,039,342.39</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4,081,121.80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57.98</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疫情常态化后，我区疫情防控资金纳入基本支出引起。</w:t>
            </w:r>
          </w:p>
        </w:tc>
      </w:tr>
      <w:tr>
        <w:tblPrEx>
          <w:tblCellMar>
            <w:top w:w="0" w:type="dxa"/>
            <w:left w:w="0" w:type="dxa"/>
            <w:bottom w:w="0" w:type="dxa"/>
            <w:right w:w="0" w:type="dxa"/>
          </w:tblCellMar>
        </w:tblPrEx>
        <w:trPr>
          <w:trHeight w:val="36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6.年初预算数</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本年收入合计</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128,220,000.00</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114,992,000.00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13,228,000.00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本年支出合计</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128,220,000.00</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114,992,000.00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13,228,000.00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7.调整预算数</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138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本年收入合计</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100,786,326.62</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35,958,637.47</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64,827,689.15</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180.28</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我区申报上级专项性资金，致收入增加引起变动</w:t>
            </w:r>
          </w:p>
        </w:tc>
      </w:tr>
      <w:tr>
        <w:tblPrEx>
          <w:tblCellMar>
            <w:top w:w="0" w:type="dxa"/>
            <w:left w:w="0" w:type="dxa"/>
            <w:bottom w:w="0" w:type="dxa"/>
            <w:right w:w="0" w:type="dxa"/>
          </w:tblCellMar>
        </w:tblPrEx>
        <w:trPr>
          <w:trHeight w:val="1041" w:hRule="atLeast"/>
        </w:trPr>
        <w:tc>
          <w:tcPr>
            <w:tcW w:w="2273" w:type="dxa"/>
            <w:tcBorders>
              <w:top w:val="nil"/>
              <w:left w:val="single" w:color="000000" w:sz="4" w:space="0"/>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本年支出合计</w:t>
            </w:r>
          </w:p>
        </w:tc>
        <w:tc>
          <w:tcPr>
            <w:tcW w:w="333" w:type="dxa"/>
            <w:tcBorders>
              <w:top w:val="nil"/>
              <w:left w:val="nil"/>
              <w:bottom w:val="single" w:color="000000" w:sz="4"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54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100,806,665.05</w:t>
            </w:r>
          </w:p>
        </w:tc>
        <w:tc>
          <w:tcPr>
            <w:tcW w:w="1264"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35,916,654.00</w:t>
            </w:r>
          </w:p>
        </w:tc>
        <w:tc>
          <w:tcPr>
            <w:tcW w:w="1387"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64,890,011.05</w:t>
            </w:r>
          </w:p>
        </w:tc>
        <w:tc>
          <w:tcPr>
            <w:tcW w:w="860" w:type="dxa"/>
            <w:tcBorders>
              <w:top w:val="nil"/>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180.67</w:t>
            </w:r>
          </w:p>
        </w:tc>
        <w:tc>
          <w:tcPr>
            <w:tcW w:w="1639" w:type="dxa"/>
            <w:tcBorders>
              <w:top w:val="nil"/>
              <w:left w:val="nil"/>
              <w:bottom w:val="single" w:color="000000" w:sz="4"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本年受疫情影响，支出增加引起变动</w:t>
            </w:r>
          </w:p>
        </w:tc>
      </w:tr>
      <w:tr>
        <w:tblPrEx>
          <w:tblCellMar>
            <w:top w:w="0" w:type="dxa"/>
            <w:left w:w="0" w:type="dxa"/>
            <w:bottom w:w="0" w:type="dxa"/>
            <w:right w:w="0" w:type="dxa"/>
          </w:tblCellMar>
        </w:tblPrEx>
        <w:trPr>
          <w:trHeight w:val="1402" w:hRule="atLeast"/>
        </w:trPr>
        <w:tc>
          <w:tcPr>
            <w:tcW w:w="2273" w:type="dxa"/>
            <w:tcBorders>
              <w:top w:val="nil"/>
              <w:left w:val="single" w:color="000000" w:sz="4" w:space="0"/>
              <w:bottom w:val="single" w:color="000000" w:sz="8"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333" w:type="dxa"/>
            <w:tcBorders>
              <w:top w:val="nil"/>
              <w:left w:val="nil"/>
              <w:bottom w:val="single" w:color="000000" w:sz="8" w:space="0"/>
              <w:right w:val="single" w:color="000000" w:sz="4" w:space="0"/>
            </w:tcBorders>
            <w:shd w:val="clear" w:color="FFFFFF" w:fill="C0C0C0"/>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544" w:type="dxa"/>
            <w:tcBorders>
              <w:top w:val="nil"/>
              <w:left w:val="nil"/>
              <w:bottom w:val="single" w:color="000000" w:sz="8"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21,645.04</w:t>
            </w:r>
          </w:p>
        </w:tc>
        <w:tc>
          <w:tcPr>
            <w:tcW w:w="1264" w:type="dxa"/>
            <w:tcBorders>
              <w:top w:val="nil"/>
              <w:left w:val="nil"/>
              <w:bottom w:val="single" w:color="000000" w:sz="8"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41,983.47</w:t>
            </w:r>
          </w:p>
        </w:tc>
        <w:tc>
          <w:tcPr>
            <w:tcW w:w="1387" w:type="dxa"/>
            <w:tcBorders>
              <w:top w:val="nil"/>
              <w:left w:val="nil"/>
              <w:bottom w:val="single" w:color="000000" w:sz="8"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-20,338.43</w:t>
            </w:r>
          </w:p>
        </w:tc>
        <w:tc>
          <w:tcPr>
            <w:tcW w:w="860" w:type="dxa"/>
            <w:tcBorders>
              <w:top w:val="nil"/>
              <w:left w:val="nil"/>
              <w:bottom w:val="single" w:color="000000" w:sz="8" w:space="0"/>
              <w:right w:val="single" w:color="000000" w:sz="4" w:space="0"/>
            </w:tcBorders>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-48.44</w:t>
            </w:r>
          </w:p>
        </w:tc>
        <w:tc>
          <w:tcPr>
            <w:tcW w:w="1639" w:type="dxa"/>
            <w:tcBorders>
              <w:top w:val="nil"/>
              <w:left w:val="nil"/>
              <w:bottom w:val="single" w:color="000000" w:sz="8" w:space="0"/>
              <w:right w:val="single" w:color="000000" w:sz="8" w:space="0"/>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上年度转的职工医疗保险缴费在本年度支出引起的变动</w:t>
            </w:r>
          </w:p>
        </w:tc>
      </w:tr>
    </w:tbl>
    <w:p>
      <w:pPr>
        <w:numPr>
          <w:ilvl w:val="0"/>
          <w:numId w:val="0"/>
        </w:numPr>
        <w:rPr>
          <w:rFonts w:hint="eastAsia" w:eastAsia="仿宋_GB2312" w:cs="仿宋_GB2312"/>
          <w:sz w:val="32"/>
          <w:szCs w:val="32"/>
        </w:rPr>
      </w:pPr>
    </w:p>
    <w:p>
      <w:pPr>
        <w:numPr>
          <w:ilvl w:val="0"/>
          <w:numId w:val="0"/>
        </w:numPr>
        <w:rPr>
          <w:rFonts w:hint="eastAsia" w:ascii="仿宋_GB2312" w:hAnsi="仿宋_GB2312" w:eastAsia="仿宋_GB2312" w:cs="仿宋_GB2312"/>
          <w:b/>
          <w:sz w:val="32"/>
          <w:szCs w:val="32"/>
          <w:lang w:eastAsia="zh-CN"/>
        </w:rPr>
      </w:pPr>
      <w:r>
        <w:rPr>
          <w:rFonts w:hint="eastAsia" w:eastAsia="仿宋_GB2312" w:cs="仿宋_GB2312"/>
          <w:sz w:val="32"/>
          <w:szCs w:val="32"/>
        </w:rPr>
        <w:t>本年度本单位总收入</w:t>
      </w:r>
      <w:r>
        <w:rPr>
          <w:rFonts w:hint="eastAsia" w:ascii="宋体" w:hAnsi="宋体" w:eastAsia="宋体" w:cs="宋体"/>
          <w:i w:val="0"/>
          <w:color w:val="000000"/>
          <w:kern w:val="0"/>
          <w:sz w:val="32"/>
          <w:szCs w:val="32"/>
          <w:u w:val="none"/>
          <w:lang w:val="en-US" w:eastAsia="zh-CN" w:bidi="ar"/>
        </w:rPr>
        <w:t>100,786,326.62</w:t>
      </w:r>
      <w:r>
        <w:rPr>
          <w:rFonts w:hint="eastAsia" w:eastAsia="仿宋_GB2312" w:cs="仿宋_GB2312"/>
          <w:sz w:val="32"/>
          <w:szCs w:val="32"/>
        </w:rPr>
        <w:t>元，总支出</w:t>
      </w:r>
      <w:r>
        <w:rPr>
          <w:rFonts w:hint="eastAsia" w:ascii="宋体" w:hAnsi="宋体" w:eastAsia="宋体" w:cs="宋体"/>
          <w:i w:val="0"/>
          <w:color w:val="000000"/>
          <w:kern w:val="0"/>
          <w:sz w:val="32"/>
          <w:szCs w:val="32"/>
          <w:u w:val="none"/>
          <w:lang w:val="en-US" w:eastAsia="zh-CN" w:bidi="ar"/>
        </w:rPr>
        <w:t>100,806,665.05</w:t>
      </w:r>
      <w:r>
        <w:rPr>
          <w:rFonts w:hint="eastAsia" w:eastAsia="仿宋_GB2312" w:cs="仿宋_GB2312"/>
          <w:sz w:val="32"/>
          <w:szCs w:val="32"/>
        </w:rPr>
        <w:t>元。</w:t>
      </w: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机关运行经费执行情况说明</w:t>
      </w:r>
    </w:p>
    <w:p>
      <w:pPr>
        <w:ind w:firstLine="64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本年度基本支出和项目支出合计</w:t>
      </w:r>
      <w:r>
        <w:rPr>
          <w:rFonts w:hint="eastAsia" w:ascii="宋体" w:hAnsi="宋体" w:eastAsia="宋体" w:cs="宋体"/>
          <w:i w:val="0"/>
          <w:color w:val="000000"/>
          <w:kern w:val="0"/>
          <w:sz w:val="32"/>
          <w:szCs w:val="32"/>
          <w:u w:val="none"/>
          <w:lang w:val="en-US" w:eastAsia="zh-CN" w:bidi="ar"/>
        </w:rPr>
        <w:t>100,786,326.62</w:t>
      </w:r>
      <w:r>
        <w:rPr>
          <w:rFonts w:hint="eastAsia" w:ascii="仿宋_GB2312" w:hAnsi="仿宋_GB2312" w:eastAsia="仿宋_GB2312" w:cs="仿宋_GB2312"/>
          <w:bCs/>
          <w:sz w:val="32"/>
          <w:szCs w:val="32"/>
        </w:rPr>
        <w:t>元，其中，工资福利支出25381116.17元，商品和服务支出26057416.96元，对个人和家庭的补助12318928.92元，</w:t>
      </w:r>
      <w:r>
        <w:rPr>
          <w:rFonts w:hint="eastAsia" w:ascii="仿宋_GB2312" w:hAnsi="仿宋_GB2312" w:eastAsia="仿宋_GB2312" w:cs="仿宋_GB2312"/>
          <w:bCs/>
          <w:sz w:val="32"/>
          <w:szCs w:val="32"/>
          <w:lang w:eastAsia="zh-CN"/>
        </w:rPr>
        <w:t>资本性支出16045203元，</w:t>
      </w:r>
      <w:r>
        <w:rPr>
          <w:rFonts w:hint="eastAsia" w:ascii="仿宋_GB2312" w:hAnsi="仿宋_GB2312" w:eastAsia="仿宋_GB2312" w:cs="仿宋_GB2312"/>
          <w:bCs/>
          <w:sz w:val="32"/>
          <w:szCs w:val="32"/>
        </w:rPr>
        <w:t>企事业单位的补贴21004000元。</w:t>
      </w:r>
    </w:p>
    <w:p>
      <w:pPr>
        <w:ind w:firstLine="642"/>
        <w:rPr>
          <w:rFonts w:hint="eastAsia" w:ascii="仿宋_GB2312" w:hAnsi="仿宋_GB2312" w:eastAsia="仿宋_GB2312" w:cs="仿宋_GB2312"/>
          <w:bCs/>
          <w:sz w:val="32"/>
          <w:szCs w:val="32"/>
        </w:rPr>
      </w:pPr>
    </w:p>
    <w:p>
      <w:pPr>
        <w:ind w:firstLine="642"/>
        <w:rPr>
          <w:rFonts w:hint="eastAsia" w:ascii="仿宋_GB2312" w:hAnsi="仿宋_GB2312" w:eastAsia="仿宋_GB2312" w:cs="仿宋_GB2312"/>
          <w:bCs/>
          <w:sz w:val="32"/>
          <w:szCs w:val="32"/>
        </w:rPr>
      </w:pPr>
    </w:p>
    <w:p>
      <w:pPr>
        <w:ind w:firstLine="642"/>
        <w:rPr>
          <w:rFonts w:hint="eastAsia" w:ascii="仿宋_GB2312" w:hAnsi="仿宋_GB2312" w:eastAsia="仿宋_GB2312" w:cs="仿宋_GB2312"/>
          <w:bCs/>
          <w:sz w:val="32"/>
          <w:szCs w:val="32"/>
        </w:rPr>
      </w:pPr>
    </w:p>
    <w:p>
      <w:pPr>
        <w:ind w:firstLine="642"/>
        <w:rPr>
          <w:rFonts w:hint="eastAsia" w:ascii="仿宋_GB2312" w:hAnsi="仿宋_GB2312" w:eastAsia="仿宋_GB2312" w:cs="仿宋_GB2312"/>
          <w:bCs/>
          <w:sz w:val="32"/>
          <w:szCs w:val="32"/>
        </w:rPr>
      </w:pPr>
    </w:p>
    <w:p>
      <w:pPr>
        <w:ind w:firstLine="642"/>
        <w:rPr>
          <w:rFonts w:hint="eastAsia" w:ascii="仿宋_GB2312" w:hAnsi="仿宋_GB2312" w:eastAsia="仿宋_GB2312" w:cs="仿宋_GB2312"/>
          <w:bCs/>
          <w:sz w:val="32"/>
          <w:szCs w:val="32"/>
        </w:rPr>
      </w:pPr>
    </w:p>
    <w:p>
      <w:pPr>
        <w:ind w:firstLine="642"/>
        <w:rPr>
          <w:rFonts w:hint="eastAsia" w:ascii="仿宋_GB2312" w:hAnsi="仿宋_GB2312" w:eastAsia="仿宋_GB2312" w:cs="仿宋_GB2312"/>
          <w:bCs/>
          <w:sz w:val="32"/>
          <w:szCs w:val="32"/>
        </w:rPr>
      </w:pPr>
    </w:p>
    <w:p>
      <w:pPr>
        <w:rPr>
          <w:rFonts w:hint="eastAsia" w:ascii="仿宋_GB2312" w:hAnsi="仿宋_GB2312" w:eastAsia="仿宋_GB2312" w:cs="仿宋_GB2312"/>
          <w:bCs/>
          <w:sz w:val="32"/>
          <w:szCs w:val="32"/>
        </w:rPr>
      </w:pPr>
    </w:p>
    <w:p>
      <w:pPr>
        <w:rPr>
          <w:rFonts w:hint="eastAsia" w:ascii="仿宋_GB2312" w:hAnsi="仿宋_GB2312" w:eastAsia="仿宋_GB2312" w:cs="仿宋_GB2312"/>
          <w:bCs/>
          <w:sz w:val="32"/>
          <w:szCs w:val="32"/>
        </w:rPr>
      </w:pPr>
    </w:p>
    <w:p>
      <w:pPr>
        <w:numPr>
          <w:ilvl w:val="0"/>
          <w:numId w:val="0"/>
        </w:numPr>
        <w:rPr>
          <w:rFonts w:hint="eastAsia" w:ascii="仿宋_GB2312" w:hAnsi="仿宋_GB2312" w:eastAsia="仿宋_GB2312" w:cs="仿宋_GB2312"/>
          <w:b/>
          <w:sz w:val="32"/>
          <w:szCs w:val="32"/>
        </w:rPr>
      </w:pPr>
    </w:p>
    <w:p>
      <w:pPr>
        <w:numPr>
          <w:ilvl w:val="0"/>
          <w:numId w:val="0"/>
        </w:numPr>
        <w:rPr>
          <w:rFonts w:hint="eastAsia" w:ascii="仿宋_GB2312" w:hAnsi="仿宋_GB2312" w:eastAsia="仿宋_GB2312" w:cs="仿宋_GB2312"/>
          <w:b/>
          <w:sz w:val="32"/>
          <w:szCs w:val="32"/>
        </w:rPr>
      </w:pPr>
    </w:p>
    <w:p>
      <w:pPr>
        <w:numPr>
          <w:ilvl w:val="0"/>
          <w:numId w:val="0"/>
        </w:numPr>
        <w:rPr>
          <w:rFonts w:hint="eastAsia" w:ascii="仿宋_GB2312" w:hAnsi="仿宋_GB2312" w:eastAsia="仿宋_GB2312" w:cs="仿宋_GB2312"/>
          <w:b/>
          <w:sz w:val="32"/>
          <w:szCs w:val="32"/>
        </w:rPr>
      </w:pPr>
    </w:p>
    <w:p>
      <w:pPr>
        <w:numPr>
          <w:ilvl w:val="0"/>
          <w:numId w:val="0"/>
        </w:numPr>
        <w:rPr>
          <w:rFonts w:hint="eastAsia" w:ascii="仿宋_GB2312" w:hAnsi="仿宋_GB2312" w:eastAsia="仿宋_GB2312" w:cs="仿宋_GB2312"/>
          <w:b/>
          <w:sz w:val="32"/>
          <w:szCs w:val="32"/>
        </w:rPr>
      </w:pPr>
    </w:p>
    <w:p>
      <w:pPr>
        <w:numPr>
          <w:ilvl w:val="0"/>
          <w:numId w:val="0"/>
        </w:numPr>
        <w:rPr>
          <w:rFonts w:hint="eastAsia" w:ascii="仿宋_GB2312" w:hAnsi="仿宋_GB2312" w:eastAsia="仿宋_GB2312" w:cs="仿宋_GB2312"/>
          <w:b/>
          <w:sz w:val="32"/>
          <w:szCs w:val="32"/>
        </w:rPr>
      </w:pPr>
    </w:p>
    <w:p>
      <w:pPr>
        <w:numPr>
          <w:ilvl w:val="0"/>
          <w:numId w:val="0"/>
        </w:numPr>
        <w:rPr>
          <w:rFonts w:hint="eastAsia" w:ascii="仿宋_GB2312" w:hAnsi="仿宋_GB2312" w:eastAsia="仿宋_GB2312" w:cs="仿宋_GB2312"/>
          <w:b/>
          <w:sz w:val="32"/>
          <w:szCs w:val="32"/>
        </w:rPr>
      </w:pPr>
    </w:p>
    <w:p>
      <w:pPr>
        <w:numPr>
          <w:ilvl w:val="0"/>
          <w:numId w:val="0"/>
        </w:numPr>
        <w:rPr>
          <w:rFonts w:hint="eastAsia" w:ascii="仿宋_GB2312" w:hAnsi="仿宋_GB2312" w:eastAsia="仿宋_GB2312" w:cs="仿宋_GB2312"/>
          <w:b/>
          <w:sz w:val="32"/>
          <w:szCs w:val="32"/>
        </w:rPr>
      </w:pPr>
    </w:p>
    <w:p>
      <w:pPr>
        <w:numPr>
          <w:ilvl w:val="0"/>
          <w:numId w:val="0"/>
        </w:numPr>
        <w:rPr>
          <w:rFonts w:hint="eastAsia" w:ascii="仿宋_GB2312" w:hAnsi="仿宋_GB2312" w:eastAsia="仿宋_GB2312" w:cs="仿宋_GB2312"/>
          <w:b/>
          <w:sz w:val="32"/>
          <w:szCs w:val="32"/>
        </w:rPr>
      </w:pPr>
    </w:p>
    <w:p>
      <w:pPr>
        <w:numPr>
          <w:ilvl w:val="0"/>
          <w:numId w:val="0"/>
        </w:numPr>
        <w:rPr>
          <w:rFonts w:hint="eastAsia" w:ascii="仿宋_GB2312" w:hAnsi="仿宋_GB2312" w:eastAsia="仿宋_GB2312" w:cs="仿宋_GB2312"/>
          <w:b/>
          <w:sz w:val="32"/>
          <w:szCs w:val="32"/>
        </w:rPr>
      </w:pPr>
    </w:p>
    <w:p>
      <w:pPr>
        <w:numPr>
          <w:ilvl w:val="0"/>
          <w:numId w:val="0"/>
        </w:num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政府采购执行情况说明</w:t>
      </w:r>
    </w:p>
    <w:p>
      <w:pPr>
        <w:spacing w:line="560" w:lineRule="exact"/>
        <w:rPr>
          <w:rFonts w:hint="eastAsia" w:ascii="仿宋_GB2312" w:eastAsia="仿宋_GB2312"/>
          <w:bCs/>
          <w:sz w:val="32"/>
          <w:szCs w:val="32"/>
          <w:lang w:eastAsia="zh-CN"/>
        </w:rPr>
      </w:pPr>
      <w:r>
        <w:rPr>
          <w:rFonts w:hint="eastAsia" w:ascii="仿宋_GB2312" w:eastAsia="仿宋_GB2312"/>
          <w:bCs/>
          <w:sz w:val="32"/>
          <w:szCs w:val="32"/>
        </w:rPr>
        <w:t>本年度</w:t>
      </w:r>
      <w:r>
        <w:rPr>
          <w:rFonts w:hint="eastAsia" w:ascii="仿宋_GB2312" w:eastAsia="仿宋_GB2312"/>
          <w:bCs/>
          <w:sz w:val="32"/>
          <w:szCs w:val="32"/>
          <w:lang w:eastAsia="zh-CN"/>
        </w:rPr>
        <w:t>按区政府采购办公室要求开展政府采购。</w:t>
      </w:r>
    </w:p>
    <w:p>
      <w:pPr>
        <w:spacing w:line="560" w:lineRule="exact"/>
        <w:ind w:firstLine="642"/>
        <w:rPr>
          <w:rFonts w:hint="eastAsia" w:ascii="仿宋_GB2312" w:eastAsia="仿宋_GB2312"/>
          <w:bCs/>
          <w:sz w:val="32"/>
          <w:szCs w:val="32"/>
        </w:rPr>
      </w:pPr>
    </w:p>
    <w:p>
      <w:pPr>
        <w:spacing w:line="560" w:lineRule="exact"/>
        <w:ind w:firstLine="642"/>
        <w:rPr>
          <w:rFonts w:hint="eastAsia" w:ascii="仿宋_GB2312" w:eastAsia="仿宋_GB2312"/>
          <w:bCs/>
          <w:sz w:val="32"/>
          <w:szCs w:val="32"/>
        </w:rPr>
      </w:pPr>
    </w:p>
    <w:p>
      <w:pPr>
        <w:spacing w:line="560" w:lineRule="exact"/>
        <w:ind w:firstLine="642"/>
        <w:rPr>
          <w:rFonts w:hint="eastAsia" w:ascii="仿宋_GB2312" w:eastAsia="仿宋_GB2312"/>
          <w:bCs/>
          <w:sz w:val="32"/>
          <w:szCs w:val="32"/>
        </w:rPr>
      </w:pPr>
    </w:p>
    <w:p>
      <w:pPr>
        <w:spacing w:line="560" w:lineRule="exact"/>
        <w:ind w:firstLine="642"/>
        <w:rPr>
          <w:rFonts w:hint="eastAsia" w:ascii="仿宋_GB2312" w:eastAsia="仿宋_GB2312"/>
          <w:bCs/>
          <w:sz w:val="32"/>
          <w:szCs w:val="32"/>
        </w:rPr>
      </w:pPr>
    </w:p>
    <w:p>
      <w:pPr>
        <w:spacing w:line="560" w:lineRule="exact"/>
        <w:ind w:firstLine="642"/>
        <w:rPr>
          <w:rFonts w:hint="eastAsia" w:ascii="仿宋_GB2312" w:eastAsia="仿宋_GB2312"/>
          <w:bCs/>
          <w:sz w:val="32"/>
          <w:szCs w:val="32"/>
        </w:rPr>
      </w:pPr>
    </w:p>
    <w:p>
      <w:pPr>
        <w:spacing w:line="560" w:lineRule="exact"/>
        <w:ind w:firstLine="642"/>
        <w:rPr>
          <w:rFonts w:hint="eastAsia" w:ascii="仿宋_GB2312" w:eastAsia="仿宋_GB2312"/>
          <w:bCs/>
          <w:sz w:val="32"/>
          <w:szCs w:val="32"/>
        </w:rPr>
      </w:pPr>
    </w:p>
    <w:p>
      <w:pPr>
        <w:spacing w:line="560" w:lineRule="exact"/>
        <w:ind w:firstLine="642"/>
        <w:rPr>
          <w:rFonts w:hint="eastAsia" w:ascii="仿宋_GB2312" w:eastAsia="仿宋_GB2312"/>
          <w:bCs/>
          <w:sz w:val="32"/>
          <w:szCs w:val="32"/>
        </w:rPr>
      </w:pPr>
    </w:p>
    <w:p>
      <w:pPr>
        <w:spacing w:line="560" w:lineRule="exact"/>
        <w:ind w:firstLine="642"/>
        <w:rPr>
          <w:rFonts w:hint="eastAsia" w:ascii="仿宋_GB2312" w:eastAsia="仿宋_GB2312"/>
          <w:bCs/>
          <w:sz w:val="32"/>
          <w:szCs w:val="32"/>
        </w:rPr>
      </w:pPr>
    </w:p>
    <w:p>
      <w:pPr>
        <w:spacing w:line="560" w:lineRule="exact"/>
        <w:ind w:firstLine="642"/>
        <w:rPr>
          <w:rFonts w:hint="eastAsia" w:ascii="仿宋_GB2312" w:eastAsia="仿宋_GB2312"/>
          <w:bCs/>
          <w:sz w:val="32"/>
          <w:szCs w:val="32"/>
        </w:rPr>
      </w:pPr>
    </w:p>
    <w:p>
      <w:pPr>
        <w:spacing w:line="560" w:lineRule="exact"/>
        <w:ind w:firstLine="642"/>
        <w:rPr>
          <w:rFonts w:hint="eastAsia" w:ascii="仿宋_GB2312" w:eastAsia="仿宋_GB2312"/>
          <w:bCs/>
          <w:sz w:val="32"/>
          <w:szCs w:val="32"/>
        </w:rPr>
      </w:pPr>
    </w:p>
    <w:p>
      <w:pPr>
        <w:spacing w:line="560" w:lineRule="exact"/>
        <w:ind w:firstLine="642"/>
        <w:rPr>
          <w:rFonts w:hint="eastAsia" w:ascii="仿宋_GB2312" w:eastAsia="仿宋_GB2312"/>
          <w:bCs/>
          <w:sz w:val="32"/>
          <w:szCs w:val="32"/>
        </w:rPr>
      </w:pPr>
    </w:p>
    <w:p>
      <w:pPr>
        <w:spacing w:line="560" w:lineRule="exact"/>
        <w:ind w:firstLine="642"/>
        <w:rPr>
          <w:rFonts w:hint="eastAsia" w:ascii="仿宋_GB2312" w:eastAsia="仿宋_GB2312"/>
          <w:bCs/>
          <w:sz w:val="32"/>
          <w:szCs w:val="32"/>
        </w:rPr>
      </w:pPr>
    </w:p>
    <w:p>
      <w:pPr>
        <w:spacing w:line="560" w:lineRule="exact"/>
        <w:ind w:firstLine="642"/>
        <w:rPr>
          <w:rFonts w:hint="eastAsia" w:ascii="仿宋_GB2312" w:eastAsia="仿宋_GB2312"/>
          <w:bCs/>
          <w:sz w:val="32"/>
          <w:szCs w:val="32"/>
        </w:rPr>
      </w:pPr>
    </w:p>
    <w:p>
      <w:pPr>
        <w:spacing w:line="560" w:lineRule="exact"/>
        <w:ind w:firstLine="642"/>
        <w:rPr>
          <w:rFonts w:hint="eastAsia" w:ascii="仿宋_GB2312" w:eastAsia="仿宋_GB2312"/>
          <w:bCs/>
          <w:sz w:val="32"/>
          <w:szCs w:val="32"/>
        </w:rPr>
      </w:pPr>
    </w:p>
    <w:p>
      <w:pPr>
        <w:spacing w:line="560" w:lineRule="exact"/>
        <w:ind w:firstLine="642"/>
        <w:rPr>
          <w:rFonts w:hint="eastAsia" w:ascii="仿宋_GB2312" w:eastAsia="仿宋_GB2312"/>
          <w:bCs/>
          <w:sz w:val="32"/>
          <w:szCs w:val="32"/>
        </w:rPr>
      </w:pPr>
    </w:p>
    <w:p>
      <w:pPr>
        <w:spacing w:line="560" w:lineRule="exact"/>
        <w:ind w:firstLine="642"/>
        <w:rPr>
          <w:rFonts w:hint="eastAsia" w:ascii="仿宋_GB2312" w:eastAsia="仿宋_GB2312"/>
          <w:bCs/>
          <w:sz w:val="32"/>
          <w:szCs w:val="32"/>
        </w:rPr>
      </w:pPr>
    </w:p>
    <w:p>
      <w:pPr>
        <w:spacing w:line="560" w:lineRule="exact"/>
        <w:ind w:firstLine="642"/>
        <w:rPr>
          <w:rFonts w:hint="eastAsia" w:ascii="仿宋_GB2312" w:eastAsia="仿宋_GB2312"/>
          <w:bCs/>
          <w:sz w:val="32"/>
          <w:szCs w:val="32"/>
        </w:rPr>
      </w:pPr>
    </w:p>
    <w:p>
      <w:pPr>
        <w:spacing w:line="560" w:lineRule="exact"/>
        <w:ind w:firstLine="642"/>
        <w:rPr>
          <w:rFonts w:hint="eastAsia" w:ascii="仿宋_GB2312" w:eastAsia="仿宋_GB2312"/>
          <w:bCs/>
          <w:sz w:val="32"/>
          <w:szCs w:val="32"/>
        </w:rPr>
      </w:pPr>
    </w:p>
    <w:p>
      <w:pPr>
        <w:spacing w:line="560" w:lineRule="exact"/>
        <w:ind w:firstLine="642"/>
        <w:rPr>
          <w:rFonts w:hint="eastAsia" w:ascii="仿宋_GB2312" w:eastAsia="仿宋_GB2312"/>
          <w:bCs/>
          <w:sz w:val="32"/>
          <w:szCs w:val="32"/>
        </w:rPr>
      </w:pPr>
    </w:p>
    <w:p>
      <w:pPr>
        <w:spacing w:line="560" w:lineRule="exact"/>
        <w:ind w:firstLine="642"/>
        <w:rPr>
          <w:rFonts w:hint="eastAsia" w:ascii="仿宋_GB2312" w:eastAsia="仿宋_GB2312"/>
          <w:bCs/>
          <w:sz w:val="32"/>
          <w:szCs w:val="32"/>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国有资产占有使用情况</w:t>
      </w:r>
    </w:p>
    <w:p>
      <w:pPr>
        <w:ind w:firstLine="640" w:firstLineChars="200"/>
        <w:rPr>
          <w:rFonts w:hint="default" w:eastAsia="仿宋_GB2312" w:cs="仿宋_GB2312"/>
          <w:sz w:val="32"/>
          <w:szCs w:val="32"/>
          <w:lang w:val="en-US" w:eastAsia="zh-CN"/>
        </w:rPr>
      </w:pPr>
      <w:r>
        <w:rPr>
          <w:rFonts w:hint="eastAsia" w:eastAsia="仿宋_GB2312" w:cs="仿宋_GB2312"/>
          <w:sz w:val="32"/>
          <w:szCs w:val="32"/>
          <w:lang w:val="en-US" w:eastAsia="zh-CN"/>
        </w:rPr>
        <w:t>2020年度部门决算报表中取消了资产报表的填报，因此2020年度部门决算公开资产占有使用情况未公开。</w:t>
      </w: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八、重点绩效评价结果等预算绩效情况说明</w:t>
      </w:r>
    </w:p>
    <w:p>
      <w:pPr>
        <w:ind w:firstLine="640" w:firstLineChars="200"/>
        <w:rPr>
          <w:rFonts w:hint="eastAsia" w:eastAsia="仿宋_GB2312" w:cs="仿宋_GB2312"/>
          <w:sz w:val="32"/>
          <w:szCs w:val="32"/>
        </w:rPr>
      </w:pPr>
      <w:r>
        <w:rPr>
          <w:rFonts w:hint="eastAsia" w:eastAsia="仿宋_GB2312" w:cs="仿宋_GB2312"/>
          <w:sz w:val="32"/>
          <w:szCs w:val="32"/>
        </w:rPr>
        <w:t>20</w:t>
      </w:r>
      <w:r>
        <w:rPr>
          <w:rFonts w:hint="eastAsia" w:eastAsia="仿宋_GB2312" w:cs="仿宋_GB2312"/>
          <w:sz w:val="32"/>
          <w:szCs w:val="32"/>
          <w:lang w:val="en-US" w:eastAsia="zh-CN"/>
        </w:rPr>
        <w:t>20</w:t>
      </w:r>
      <w:r>
        <w:rPr>
          <w:rFonts w:hint="eastAsia" w:eastAsia="仿宋_GB2312" w:cs="仿宋_GB2312"/>
          <w:sz w:val="32"/>
          <w:szCs w:val="32"/>
        </w:rPr>
        <w:t>年主要重点支出项目为人员经费支出和行政事业类项目支出。人员经费支出保证了机关在职、退休人员工资的正常发放。行政事业类项目支出</w:t>
      </w:r>
      <w:r>
        <w:rPr>
          <w:rFonts w:hint="eastAsia" w:eastAsia="仿宋_GB2312" w:cs="仿宋_GB2312"/>
          <w:sz w:val="32"/>
          <w:szCs w:val="32"/>
          <w:lang w:eastAsia="zh-CN"/>
        </w:rPr>
        <w:t>增加三处公共基础设施，其余</w:t>
      </w:r>
      <w:r>
        <w:rPr>
          <w:rFonts w:hint="eastAsia" w:eastAsia="仿宋_GB2312" w:cs="仿宋_GB2312"/>
          <w:sz w:val="32"/>
          <w:szCs w:val="32"/>
        </w:rPr>
        <w:t>主要用于兴安台转盘道沥青路面维修，资源型生物厕所，红旗镇垃圾桶、果皮箱</w:t>
      </w:r>
      <w:r>
        <w:rPr>
          <w:rFonts w:hint="eastAsia" w:eastAsia="仿宋_GB2312" w:cs="仿宋_GB2312"/>
          <w:sz w:val="32"/>
          <w:szCs w:val="32"/>
          <w:lang w:eastAsia="zh-CN"/>
        </w:rPr>
        <w:t>。增加了两处在建工程项目，</w:t>
      </w:r>
      <w:r>
        <w:rPr>
          <w:rFonts w:hint="eastAsia" w:eastAsia="仿宋_GB2312" w:cs="仿宋_GB2312"/>
          <w:sz w:val="32"/>
          <w:szCs w:val="32"/>
        </w:rPr>
        <w:t>主要用于高标准农田建设</w:t>
      </w:r>
      <w:r>
        <w:rPr>
          <w:rFonts w:hint="eastAsia" w:eastAsia="仿宋_GB2312" w:cs="仿宋_GB2312"/>
          <w:sz w:val="32"/>
          <w:szCs w:val="32"/>
          <w:lang w:eastAsia="zh-CN"/>
        </w:rPr>
        <w:t>和红旗镇污水管网改建，主要用于改善百姓生活环境卫生和保障交通出行，提高人民幸福感和获得感</w:t>
      </w:r>
      <w:r>
        <w:rPr>
          <w:rFonts w:hint="eastAsia" w:eastAsia="仿宋_GB2312" w:cs="仿宋_GB2312"/>
          <w:sz w:val="32"/>
          <w:szCs w:val="32"/>
        </w:rPr>
        <w:t>。</w:t>
      </w: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numPr>
          <w:ilvl w:val="0"/>
          <w:numId w:val="0"/>
        </w:num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“三公”经费情况及增减变化原因说明</w:t>
      </w:r>
    </w:p>
    <w:p>
      <w:pPr>
        <w:ind w:firstLine="640" w:firstLineChars="200"/>
        <w:rPr>
          <w:rFonts w:hint="eastAsia" w:ascii="仿宋_GB2312" w:eastAsia="仿宋_GB2312"/>
          <w:sz w:val="32"/>
          <w:szCs w:val="32"/>
        </w:rPr>
      </w:pPr>
      <w:r>
        <w:rPr>
          <w:rFonts w:hint="eastAsia" w:ascii="仿宋_GB2312" w:eastAsia="仿宋_GB2312"/>
          <w:sz w:val="32"/>
          <w:szCs w:val="32"/>
        </w:rPr>
        <w:t>全年“三公”经费支出合计330155.34元。</w:t>
      </w:r>
    </w:p>
    <w:p>
      <w:pPr>
        <w:ind w:firstLine="640" w:firstLineChars="200"/>
        <w:rPr>
          <w:rFonts w:hint="eastAsia" w:ascii="仿宋_GB2312" w:eastAsia="仿宋_GB2312"/>
          <w:sz w:val="32"/>
          <w:szCs w:val="32"/>
        </w:rPr>
      </w:pPr>
      <w:r>
        <w:rPr>
          <w:rFonts w:hint="eastAsia" w:ascii="仿宋_GB2312" w:eastAsia="仿宋_GB2312"/>
          <w:sz w:val="32"/>
          <w:szCs w:val="32"/>
        </w:rPr>
        <w:t>其中,因公出国（境）费0万元；</w:t>
      </w:r>
    </w:p>
    <w:p>
      <w:pPr>
        <w:ind w:firstLine="640" w:firstLineChars="200"/>
        <w:rPr>
          <w:rFonts w:hint="eastAsia" w:ascii="仿宋_GB2312" w:eastAsia="仿宋_GB2312"/>
          <w:sz w:val="32"/>
          <w:szCs w:val="32"/>
        </w:rPr>
      </w:pPr>
      <w:r>
        <w:rPr>
          <w:rFonts w:hint="eastAsia" w:ascii="仿宋_GB2312" w:eastAsia="仿宋_GB2312"/>
          <w:sz w:val="32"/>
          <w:szCs w:val="32"/>
        </w:rPr>
        <w:t>公务用车购置及运行维护费330155.34元，公务用车购置数</w:t>
      </w:r>
      <w:r>
        <w:rPr>
          <w:rFonts w:hint="eastAsia" w:ascii="仿宋_GB2312" w:eastAsia="仿宋_GB2312"/>
          <w:sz w:val="32"/>
          <w:szCs w:val="32"/>
          <w:lang w:val="en-US" w:eastAsia="zh-CN"/>
        </w:rPr>
        <w:t>0</w:t>
      </w:r>
      <w:r>
        <w:rPr>
          <w:rFonts w:hint="eastAsia" w:ascii="仿宋_GB2312" w:eastAsia="仿宋_GB2312"/>
          <w:sz w:val="32"/>
          <w:szCs w:val="32"/>
        </w:rPr>
        <w:t>，公务用车购置费</w:t>
      </w:r>
      <w:r>
        <w:rPr>
          <w:rFonts w:hint="eastAsia" w:ascii="仿宋_GB2312" w:eastAsia="仿宋_GB2312"/>
          <w:sz w:val="32"/>
          <w:szCs w:val="32"/>
          <w:lang w:val="en-US" w:eastAsia="zh-CN"/>
        </w:rPr>
        <w:t>0</w:t>
      </w:r>
      <w:r>
        <w:rPr>
          <w:rFonts w:hint="eastAsia" w:ascii="仿宋_GB2312" w:eastAsia="仿宋_GB2312"/>
          <w:sz w:val="32"/>
          <w:szCs w:val="32"/>
        </w:rPr>
        <w:t>元，公务用车保有量</w:t>
      </w:r>
      <w:r>
        <w:rPr>
          <w:rFonts w:hint="eastAsia" w:ascii="仿宋_GB2312" w:eastAsia="仿宋_GB2312"/>
          <w:sz w:val="32"/>
          <w:szCs w:val="32"/>
          <w:lang w:val="en-US" w:eastAsia="zh-CN"/>
        </w:rPr>
        <w:t>15</w:t>
      </w:r>
      <w:r>
        <w:rPr>
          <w:rFonts w:hint="eastAsia" w:ascii="仿宋_GB2312" w:eastAsia="仿宋_GB2312"/>
          <w:sz w:val="32"/>
          <w:szCs w:val="32"/>
        </w:rPr>
        <w:t>辆，公务用车运行维护费330155.34元。同比</w:t>
      </w:r>
      <w:r>
        <w:rPr>
          <w:rFonts w:hint="eastAsia" w:ascii="仿宋_GB2312" w:eastAsia="仿宋_GB2312"/>
          <w:sz w:val="32"/>
          <w:szCs w:val="32"/>
          <w:lang w:eastAsia="zh-CN"/>
        </w:rPr>
        <w:t>下降-29.63</w:t>
      </w:r>
      <w:r>
        <w:rPr>
          <w:rFonts w:hint="eastAsia" w:ascii="仿宋_GB2312" w:eastAsia="仿宋_GB2312"/>
          <w:sz w:val="32"/>
          <w:szCs w:val="32"/>
        </w:rPr>
        <w:t>%，原因是</w:t>
      </w:r>
      <w:r>
        <w:rPr>
          <w:rFonts w:hint="eastAsia" w:ascii="仿宋_GB2312" w:eastAsia="仿宋_GB2312"/>
          <w:sz w:val="32"/>
          <w:szCs w:val="32"/>
          <w:lang w:eastAsia="zh-CN"/>
        </w:rPr>
        <w:t>我单位我单位车辆老化无法正常行驶引起</w:t>
      </w:r>
      <w:r>
        <w:rPr>
          <w:rFonts w:hint="eastAsia" w:ascii="仿宋_GB2312" w:eastAsia="仿宋_GB2312"/>
          <w:sz w:val="32"/>
          <w:szCs w:val="32"/>
          <w:lang w:val="en-US" w:eastAsia="zh-CN"/>
        </w:rPr>
        <w:t>，所以导致三公经费下降</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公务接待费0元，国内公务接待批次0次，国内公务接待人次0人次。</w:t>
      </w:r>
      <w:r>
        <w:rPr>
          <w:rFonts w:hint="eastAsia" w:ascii="仿宋_GB2312" w:eastAsia="仿宋_GB2312"/>
          <w:sz w:val="32"/>
          <w:szCs w:val="32"/>
          <w:lang w:eastAsia="zh-CN"/>
        </w:rPr>
        <w:t>与去年一致</w:t>
      </w:r>
      <w:r>
        <w:rPr>
          <w:rFonts w:hint="eastAsia" w:ascii="仿宋_GB2312" w:eastAsia="仿宋_GB2312"/>
          <w:sz w:val="32"/>
          <w:szCs w:val="32"/>
        </w:rPr>
        <w:t>，原因是压缩三公经费。</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lang w:eastAsia="zh-CN"/>
        </w:rPr>
      </w:pPr>
    </w:p>
    <w:p>
      <w:pPr>
        <w:numPr>
          <w:ilvl w:val="0"/>
          <w:numId w:val="0"/>
        </w:num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rPr>
        <w:t>名词解释</w:t>
      </w:r>
    </w:p>
    <w:p>
      <w:pPr>
        <w:ind w:firstLine="645"/>
        <w:rPr>
          <w:rFonts w:hint="eastAsia" w:ascii="仿宋_GB2312" w:eastAsia="仿宋_GB2312"/>
          <w:sz w:val="32"/>
          <w:szCs w:val="32"/>
        </w:rPr>
      </w:pPr>
      <w:r>
        <w:rPr>
          <w:rFonts w:hint="eastAsia" w:ascii="仿宋_GB2312" w:eastAsia="仿宋_GB2312"/>
          <w:sz w:val="32"/>
          <w:szCs w:val="32"/>
        </w:rPr>
        <w:t>单位本部门决算及“三公”经费决算中相关名词解释如下：</w:t>
      </w:r>
    </w:p>
    <w:p>
      <w:pPr>
        <w:ind w:firstLine="645"/>
        <w:rPr>
          <w:rFonts w:hint="eastAsia" w:ascii="仿宋_GB2312" w:eastAsia="仿宋_GB2312"/>
          <w:sz w:val="32"/>
          <w:szCs w:val="32"/>
        </w:rPr>
      </w:pPr>
      <w:r>
        <w:rPr>
          <w:rFonts w:hint="eastAsia" w:ascii="仿宋_GB2312" w:eastAsia="仿宋_GB2312"/>
          <w:sz w:val="32"/>
          <w:szCs w:val="32"/>
        </w:rPr>
        <w:t>1.财政拨款收入：本级财政部门当年拨付的财政预算资金，包括公共预算财政拨款和政府性基金预算财政拨款。</w:t>
      </w:r>
    </w:p>
    <w:p>
      <w:pPr>
        <w:ind w:firstLine="645"/>
        <w:rPr>
          <w:rFonts w:ascii="仿宋_GB2312" w:eastAsia="仿宋_GB2312"/>
          <w:sz w:val="32"/>
          <w:szCs w:val="32"/>
        </w:rPr>
      </w:pPr>
      <w:r>
        <w:rPr>
          <w:rFonts w:hint="eastAsia" w:ascii="仿宋_GB2312" w:eastAsia="仿宋_GB2312"/>
          <w:sz w:val="32"/>
          <w:szCs w:val="32"/>
        </w:rPr>
        <w:t>2.专户资金:教育收费和彩票发行和销售机构业务费作为本部门的事业收入，纳入财政专户管理的资金。</w:t>
      </w:r>
    </w:p>
    <w:p>
      <w:pPr>
        <w:ind w:firstLine="645"/>
        <w:rPr>
          <w:rFonts w:ascii="仿宋_GB2312" w:eastAsia="仿宋_GB2312"/>
          <w:sz w:val="32"/>
          <w:szCs w:val="32"/>
        </w:rPr>
      </w:pPr>
      <w:r>
        <w:rPr>
          <w:rFonts w:hint="eastAsia" w:ascii="仿宋_GB2312" w:eastAsia="仿宋_GB2312"/>
          <w:sz w:val="32"/>
          <w:szCs w:val="32"/>
        </w:rPr>
        <w:t>3．事业收入：事业单位开展专业业务活动及辅助活动所取得的收入，不含专户资金收入。</w:t>
      </w:r>
    </w:p>
    <w:p>
      <w:pPr>
        <w:ind w:firstLine="645"/>
        <w:rPr>
          <w:rFonts w:ascii="仿宋_GB2312" w:eastAsia="仿宋_GB2312"/>
          <w:sz w:val="32"/>
          <w:szCs w:val="32"/>
        </w:rPr>
      </w:pPr>
      <w:r>
        <w:rPr>
          <w:rFonts w:hint="eastAsia" w:ascii="仿宋_GB2312" w:eastAsia="仿宋_GB2312"/>
          <w:sz w:val="32"/>
          <w:szCs w:val="32"/>
        </w:rPr>
        <w:t>4．事业单位经营收入：事业单位在专业业务活动及辅助活动之外开展非独立核算经营活动取得的收入。</w:t>
      </w:r>
    </w:p>
    <w:p>
      <w:pPr>
        <w:ind w:firstLine="645"/>
        <w:rPr>
          <w:rFonts w:ascii="仿宋_GB2312" w:eastAsia="仿宋_GB2312"/>
          <w:sz w:val="32"/>
          <w:szCs w:val="32"/>
        </w:rPr>
      </w:pPr>
      <w:r>
        <w:rPr>
          <w:rFonts w:hint="eastAsia" w:ascii="仿宋_GB2312" w:eastAsia="仿宋_GB2312"/>
          <w:sz w:val="32"/>
          <w:szCs w:val="32"/>
        </w:rPr>
        <w:t>5.其他收入：预算单位在“财政拨款、事业收入、经营收入”等之外取得的各项收入（含上级补助收入和附属单位缴款等收入）。</w:t>
      </w:r>
    </w:p>
    <w:p>
      <w:pPr>
        <w:ind w:firstLine="645"/>
        <w:rPr>
          <w:rFonts w:ascii="仿宋_GB2312" w:eastAsia="仿宋_GB2312"/>
          <w:sz w:val="32"/>
          <w:szCs w:val="32"/>
        </w:rPr>
      </w:pPr>
      <w:r>
        <w:rPr>
          <w:rFonts w:hint="eastAsia" w:ascii="仿宋_GB2312" w:eastAsia="仿宋_GB2312"/>
          <w:sz w:val="32"/>
          <w:szCs w:val="32"/>
        </w:rPr>
        <w:t>6.用事业基金弥补收支差额：指事业单位在当年的“财政拨款收入”、“专户资金”、“事业收入”、“事业单位经营收入”、“其他收入”、“上年结转”等不足以安排当年支出的情况下，使用以前年度积累的事业基金弥补本年收支缺口的资金。</w:t>
      </w:r>
    </w:p>
    <w:p>
      <w:pPr>
        <w:ind w:firstLine="645"/>
        <w:rPr>
          <w:rFonts w:ascii="仿宋_GB2312" w:eastAsia="仿宋_GB2312"/>
          <w:sz w:val="32"/>
          <w:szCs w:val="32"/>
        </w:rPr>
      </w:pPr>
      <w:r>
        <w:rPr>
          <w:rFonts w:hint="eastAsia" w:ascii="仿宋_GB2312" w:eastAsia="仿宋_GB2312"/>
          <w:sz w:val="32"/>
          <w:szCs w:val="32"/>
        </w:rPr>
        <w:t>7.上年结转：是指预算单位以前年度的收入预算未执行完毕，需结转本年度按照原用途继续使用的结转资金，以及以前年度收支相抵后的盈余或亏损结余资金。</w:t>
      </w:r>
    </w:p>
    <w:p>
      <w:pPr>
        <w:ind w:firstLine="645"/>
        <w:rPr>
          <w:rFonts w:hint="eastAsia" w:ascii="仿宋_GB2312" w:eastAsia="仿宋_GB2312"/>
          <w:sz w:val="32"/>
          <w:szCs w:val="32"/>
        </w:rPr>
      </w:pPr>
      <w:r>
        <w:rPr>
          <w:rFonts w:hint="eastAsia" w:ascii="仿宋_GB2312" w:eastAsia="仿宋_GB2312"/>
          <w:sz w:val="32"/>
          <w:szCs w:val="32"/>
        </w:rPr>
        <w:t>8．结转下年：是指预算单位本年底前的收入预算未执行完毕，需结转下年度按照原用途继续使用的结转资金，以及本年底前收支相抵后盈余或亏损的结余资金，其中包括当年事业单位按照国家规定，用于核算当年应交所得税和提取事业基金、专用基金的分配情况和结果。</w:t>
      </w:r>
    </w:p>
    <w:p>
      <w:pPr>
        <w:ind w:firstLine="645"/>
        <w:rPr>
          <w:rFonts w:ascii="仿宋_GB2312" w:eastAsia="仿宋_GB2312"/>
          <w:sz w:val="32"/>
          <w:szCs w:val="32"/>
        </w:rPr>
      </w:pPr>
      <w:r>
        <w:rPr>
          <w:rFonts w:hint="eastAsia" w:ascii="仿宋_GB2312" w:eastAsia="仿宋_GB2312"/>
          <w:sz w:val="32"/>
          <w:szCs w:val="32"/>
        </w:rPr>
        <w:t>9.基本支出：是预算单位为保障其正常运转，完成日常工作任务所发生的支出，包括人员支出和日常公用支出。</w:t>
      </w:r>
    </w:p>
    <w:p>
      <w:pPr>
        <w:ind w:firstLine="645"/>
        <w:rPr>
          <w:rFonts w:hint="eastAsia" w:ascii="仿宋_GB2312" w:eastAsia="仿宋_GB2312"/>
          <w:sz w:val="32"/>
          <w:szCs w:val="32"/>
        </w:rPr>
      </w:pPr>
      <w:r>
        <w:rPr>
          <w:rFonts w:hint="eastAsia" w:ascii="仿宋_GB2312" w:eastAsia="仿宋_GB2312"/>
          <w:sz w:val="32"/>
          <w:szCs w:val="32"/>
        </w:rPr>
        <w:t>10.项目支出：是预算单位为完成其特定的行政工作任务或事业发展目标所发生的支出。</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机关运行经费：是指各部门的公用经费，包括办公费及印刷费、邮电费、差旅费、会议费、福利费、日常维修费、专用材料及一般设备购置费、办公用房水电费、办公用房取暖费、办公用房物业管理费、公务用车运行维护费及其他费用。</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三公经费：是指因公出国（境）费、公务用车购置及运行费、公务接待费三项经费支出。</w:t>
      </w:r>
    </w:p>
    <w:p>
      <w:pPr>
        <w:ind w:firstLine="360" w:firstLineChars="100"/>
        <w:jc w:val="both"/>
        <w:rPr>
          <w:rFonts w:hint="eastAsia" w:ascii="仿宋_GB2312" w:eastAsia="仿宋_GB2312"/>
          <w:sz w:val="36"/>
          <w:szCs w:val="36"/>
          <w:lang w:eastAsia="zh-CN"/>
        </w:rPr>
      </w:pPr>
      <w:r>
        <w:rPr>
          <w:rFonts w:hint="eastAsia" w:ascii="仿宋_GB2312" w:eastAsia="仿宋_GB2312"/>
          <w:sz w:val="36"/>
          <w:szCs w:val="36"/>
          <w:lang w:eastAsia="zh-CN"/>
        </w:rPr>
        <w:t>鹤岗市兴安区人民政府政府性基金决算数据说明</w:t>
      </w:r>
    </w:p>
    <w:p>
      <w:pPr>
        <w:ind w:firstLine="640" w:firstLineChars="200"/>
        <w:rPr>
          <w:rFonts w:hint="eastAsia" w:ascii="仿宋_GB2312" w:eastAsia="仿宋_GB2312"/>
          <w:sz w:val="32"/>
          <w:szCs w:val="32"/>
          <w:lang w:eastAsia="zh-CN"/>
        </w:rPr>
      </w:pP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2020年，</w:t>
      </w:r>
      <w:r>
        <w:rPr>
          <w:rFonts w:hint="eastAsia" w:ascii="仿宋_GB2312" w:eastAsia="仿宋_GB2312"/>
          <w:sz w:val="32"/>
          <w:szCs w:val="32"/>
        </w:rPr>
        <w:t>我区</w:t>
      </w:r>
      <w:r>
        <w:rPr>
          <w:rFonts w:hint="eastAsia" w:ascii="仿宋_GB2312" w:eastAsia="仿宋_GB2312"/>
          <w:sz w:val="32"/>
          <w:szCs w:val="32"/>
          <w:lang w:eastAsia="zh-CN"/>
        </w:rPr>
        <w:t>政府性基金收入8134554.99元，其中：基本支出收入</w:t>
      </w:r>
      <w:r>
        <w:rPr>
          <w:rFonts w:hint="eastAsia" w:ascii="仿宋_GB2312" w:eastAsia="仿宋_GB2312"/>
          <w:sz w:val="32"/>
          <w:szCs w:val="32"/>
          <w:lang w:val="en-US" w:eastAsia="zh-CN"/>
        </w:rPr>
        <w:t>0元，</w:t>
      </w:r>
      <w:r>
        <w:rPr>
          <w:rFonts w:hint="eastAsia" w:ascii="仿宋_GB2312" w:eastAsia="仿宋_GB2312"/>
          <w:sz w:val="32"/>
          <w:szCs w:val="32"/>
          <w:lang w:eastAsia="zh-CN"/>
        </w:rPr>
        <w:t>项目支出收入8134554.99元，政府性基金支出8134554.99元，其中：基本支出</w:t>
      </w:r>
      <w:r>
        <w:rPr>
          <w:rFonts w:hint="eastAsia" w:ascii="仿宋_GB2312" w:eastAsia="仿宋_GB2312"/>
          <w:sz w:val="32"/>
          <w:szCs w:val="32"/>
          <w:lang w:val="en-US" w:eastAsia="zh-CN"/>
        </w:rPr>
        <w:t>0元，</w:t>
      </w:r>
      <w:r>
        <w:rPr>
          <w:rFonts w:hint="eastAsia" w:ascii="仿宋_GB2312" w:eastAsia="仿宋_GB2312"/>
          <w:sz w:val="32"/>
          <w:szCs w:val="32"/>
          <w:lang w:eastAsia="zh-CN"/>
        </w:rPr>
        <w:t>项目支出8134554.99元。</w:t>
      </w:r>
    </w:p>
    <w:p>
      <w:pPr>
        <w:rPr>
          <w:rFonts w:hint="eastAsia" w:ascii="仿宋_GB2312" w:eastAsia="仿宋_GB2312"/>
          <w:sz w:val="32"/>
          <w:szCs w:val="32"/>
          <w:lang w:val="en-US" w:eastAsia="zh-CN"/>
        </w:rPr>
      </w:pPr>
      <w:r>
        <w:rPr>
          <w:rFonts w:hint="eastAsia"/>
          <w:lang w:val="en-US" w:eastAsia="zh-CN"/>
        </w:rPr>
        <w:t xml:space="preserve">      </w:t>
      </w:r>
      <w:r>
        <w:rPr>
          <w:rFonts w:hint="eastAsia" w:ascii="仿宋_GB2312" w:eastAsia="仿宋_GB2312"/>
          <w:sz w:val="32"/>
          <w:szCs w:val="32"/>
          <w:lang w:eastAsia="zh-CN"/>
        </w:rPr>
        <w:t>项目支出中工资福利支出</w:t>
      </w:r>
      <w:r>
        <w:rPr>
          <w:rFonts w:hint="eastAsia" w:ascii="仿宋_GB2312" w:eastAsia="仿宋_GB2312"/>
          <w:sz w:val="32"/>
          <w:szCs w:val="32"/>
          <w:lang w:val="en-US" w:eastAsia="zh-CN"/>
        </w:rPr>
        <w:t>0元，商品和服务支出4974934.99元，对个人和家庭的补助821010元，资本性支出2338610元。</w:t>
      </w:r>
    </w:p>
    <w:p>
      <w:pPr>
        <w:ind w:firstLine="645"/>
        <w:rPr>
          <w:rFonts w:hint="eastAsia" w:ascii="仿宋_GB2312" w:eastAsia="仿宋_GB2312"/>
          <w:sz w:val="32"/>
          <w:szCs w:val="32"/>
        </w:rPr>
      </w:pPr>
    </w:p>
    <w:p>
      <w:pPr>
        <w:ind w:firstLine="640" w:firstLineChars="200"/>
        <w:jc w:val="center"/>
        <w:rPr>
          <w:rFonts w:hint="eastAsia" w:ascii="仿宋_GB2312" w:eastAsia="仿宋_GB2312"/>
          <w:sz w:val="32"/>
          <w:szCs w:val="32"/>
          <w:lang w:eastAsia="zh-CN"/>
        </w:rPr>
      </w:pPr>
      <w:r>
        <w:rPr>
          <w:rFonts w:hint="eastAsia" w:ascii="仿宋_GB2312" w:eastAsia="仿宋_GB2312"/>
          <w:sz w:val="32"/>
          <w:szCs w:val="32"/>
          <w:lang w:eastAsia="zh-CN"/>
        </w:rPr>
        <w:t>说明</w:t>
      </w:r>
    </w:p>
    <w:p>
      <w:pPr>
        <w:ind w:firstLine="640" w:firstLineChars="200"/>
        <w:rPr>
          <w:sz w:val="32"/>
          <w:szCs w:val="32"/>
        </w:rPr>
      </w:pPr>
      <w:r>
        <w:rPr>
          <w:rFonts w:hint="eastAsia" w:ascii="仿宋_GB2312" w:eastAsia="仿宋_GB2312"/>
          <w:sz w:val="32"/>
          <w:szCs w:val="32"/>
        </w:rPr>
        <w:t>截</w:t>
      </w:r>
      <w:r>
        <w:rPr>
          <w:rFonts w:hint="eastAsia" w:ascii="仿宋_GB2312" w:eastAsia="仿宋_GB2312"/>
          <w:sz w:val="32"/>
          <w:szCs w:val="32"/>
          <w:lang w:val="en-US" w:eastAsia="zh-CN"/>
        </w:rPr>
        <w:t>至</w:t>
      </w:r>
      <w:r>
        <w:rPr>
          <w:rFonts w:hint="eastAsia" w:ascii="仿宋_GB2312" w:eastAsia="仿宋_GB2312"/>
          <w:sz w:val="32"/>
          <w:szCs w:val="32"/>
        </w:rPr>
        <w:t>目前，我</w:t>
      </w:r>
      <w:r>
        <w:rPr>
          <w:rFonts w:hint="eastAsia" w:ascii="仿宋_GB2312" w:eastAsia="仿宋_GB2312"/>
          <w:sz w:val="32"/>
          <w:szCs w:val="32"/>
          <w:lang w:eastAsia="zh-CN"/>
        </w:rPr>
        <w:t>单位</w:t>
      </w:r>
      <w:r>
        <w:rPr>
          <w:rFonts w:hint="eastAsia" w:ascii="仿宋_GB2312" w:eastAsia="仿宋_GB2312"/>
          <w:sz w:val="32"/>
          <w:szCs w:val="32"/>
        </w:rPr>
        <w:t>无</w:t>
      </w:r>
      <w:r>
        <w:rPr>
          <w:rFonts w:hint="eastAsia" w:ascii="仿宋_GB2312" w:eastAsia="仿宋_GB2312"/>
          <w:sz w:val="32"/>
          <w:szCs w:val="32"/>
          <w:lang w:eastAsia="zh-CN"/>
        </w:rPr>
        <w:t>国有资本经营决算，因此国有资本经营转移性收支决算录入表、国有资本经营预算拨款收支情况表无数据。</w:t>
      </w:r>
    </w:p>
    <w:p>
      <w:pPr>
        <w:ind w:firstLine="645"/>
        <w:rPr>
          <w:rFonts w:hint="eastAsia" w:ascii="仿宋_GB2312" w:eastAsia="仿宋_GB2312"/>
          <w:sz w:val="32"/>
          <w:szCs w:val="32"/>
        </w:rPr>
      </w:pPr>
    </w:p>
    <w:p>
      <w:pPr>
        <w:ind w:firstLine="645"/>
        <w:rPr>
          <w:rFonts w:hint="eastAsia" w:ascii="仿宋_GB2312" w:eastAsia="仿宋_GB2312"/>
          <w:sz w:val="32"/>
          <w:szCs w:val="32"/>
        </w:rPr>
      </w:pPr>
    </w:p>
    <w:p/>
    <w:sectPr>
      <w:pgSz w:w="11906" w:h="16838"/>
      <w:pgMar w:top="1440" w:right="1406" w:bottom="1440"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2429BA"/>
    <w:multiLevelType w:val="singleLevel"/>
    <w:tmpl w:val="582429BA"/>
    <w:lvl w:ilvl="0" w:tentative="0">
      <w:start w:val="1"/>
      <w:numFmt w:val="chineseCounting"/>
      <w:suff w:val="nothing"/>
      <w:lvlText w:val="%1、"/>
      <w:lvlJc w:val="left"/>
    </w:lvl>
  </w:abstractNum>
  <w:abstractNum w:abstractNumId="1">
    <w:nsid w:val="59F41961"/>
    <w:multiLevelType w:val="singleLevel"/>
    <w:tmpl w:val="59F41961"/>
    <w:lvl w:ilvl="0" w:tentative="0">
      <w:start w:val="1"/>
      <w:numFmt w:val="chineseCounting"/>
      <w:suff w:val="nothing"/>
      <w:lvlText w:val="%1、"/>
      <w:lvlJc w:val="left"/>
      <w:pPr>
        <w:ind w:left="0" w:firstLine="420"/>
      </w:pPr>
      <w:rPr>
        <w:rFonts w:hint="eastAsia"/>
      </w:rPr>
    </w:lvl>
  </w:abstractNum>
  <w:abstractNum w:abstractNumId="2">
    <w:nsid w:val="59F41998"/>
    <w:multiLevelType w:val="singleLevel"/>
    <w:tmpl w:val="59F41998"/>
    <w:lvl w:ilvl="0" w:tentative="0">
      <w:start w:val="1"/>
      <w:numFmt w:val="chineseCounting"/>
      <w:suff w:val="nothing"/>
      <w:lvlText w:val="（%1）"/>
      <w:lvlJc w:val="left"/>
    </w:lvl>
  </w:abstractNum>
  <w:abstractNum w:abstractNumId="3">
    <w:nsid w:val="59F419F5"/>
    <w:multiLevelType w:val="singleLevel"/>
    <w:tmpl w:val="59F419F5"/>
    <w:lvl w:ilvl="0" w:tentative="0">
      <w:start w:val="3"/>
      <w:numFmt w:val="chineseCounting"/>
      <w:suff w:val="nothing"/>
      <w:lvlText w:val="%1、"/>
      <w:lvlJc w:val="left"/>
    </w:lvl>
  </w:abstractNum>
  <w:abstractNum w:abstractNumId="4">
    <w:nsid w:val="59F41AC9"/>
    <w:multiLevelType w:val="singleLevel"/>
    <w:tmpl w:val="59F41AC9"/>
    <w:lvl w:ilvl="0" w:tentative="0">
      <w:start w:val="1"/>
      <w:numFmt w:val="chineseCounting"/>
      <w:suff w:val="nothing"/>
      <w:lvlText w:val="（%1）"/>
      <w:lvlJc w:val="left"/>
      <w:pPr>
        <w:ind w:left="0" w:firstLine="420"/>
      </w:pPr>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4MGFhMGZiMWU1MzQ1MTRjM2JkM2YxOTM2OWMxOTMifQ=="/>
  </w:docVars>
  <w:rsids>
    <w:rsidRoot w:val="6F593DD9"/>
    <w:rsid w:val="6F593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2023-09-06T02:22:00Z</dcterms:created>
  <dc:creator>冯科强</dc:creator>
  <cp:lastModifiedBy>冯科强</cp:lastModifiedBy>
  <dcterms:modified xsi:type="dcterms:W3CDTF">2023-09-06T02:23:15Z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25CD51AC266C453D8192BD5B52BCD2B3_11</vt:lpwstr>
  </property>
</Properties>
</file>